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30" w:rsidRPr="00BB7A5F" w:rsidRDefault="005F0C95" w:rsidP="00EA4C2B">
      <w:pPr>
        <w:pStyle w:val="a6"/>
        <w:widowControl/>
        <w:snapToGrid w:val="0"/>
        <w:spacing w:beforeAutospacing="0" w:afterAutospacing="0"/>
        <w:jc w:val="center"/>
        <w:rPr>
          <w:rFonts w:asciiTheme="majorEastAsia" w:eastAsiaTheme="majorEastAsia" w:hAnsiTheme="majorEastAsia" w:cs="方正小标宋简体"/>
          <w:b/>
          <w:bCs/>
          <w:color w:val="333333"/>
          <w:spacing w:val="8"/>
          <w:sz w:val="44"/>
          <w:szCs w:val="44"/>
          <w:shd w:val="clear" w:color="auto" w:fill="FFFFFF"/>
        </w:rPr>
      </w:pPr>
      <w:r w:rsidRPr="00BB7A5F">
        <w:rPr>
          <w:rFonts w:asciiTheme="majorEastAsia" w:eastAsiaTheme="majorEastAsia" w:hAnsiTheme="majorEastAsia" w:cs="方正小标宋简体" w:hint="eastAsia"/>
          <w:b/>
          <w:bCs/>
          <w:color w:val="333333"/>
          <w:spacing w:val="8"/>
          <w:sz w:val="44"/>
          <w:szCs w:val="44"/>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2939F9" w:rsidRPr="00BB7A5F">
        <w:rPr>
          <w:rFonts w:asciiTheme="majorEastAsia" w:eastAsiaTheme="majorEastAsia" w:hAnsiTheme="majorEastAsia" w:cs="方正小标宋简体" w:hint="eastAsia"/>
          <w:b/>
          <w:bCs/>
          <w:color w:val="333333"/>
          <w:spacing w:val="8"/>
          <w:sz w:val="44"/>
          <w:szCs w:val="44"/>
          <w:shd w:val="clear" w:color="auto" w:fill="FFFFFF"/>
        </w:rPr>
        <w:instrText>ADDIN CNKISM.UserStyle</w:instrText>
      </w:r>
      <w:r w:rsidRPr="00BB7A5F">
        <w:rPr>
          <w:rFonts w:asciiTheme="majorEastAsia" w:eastAsiaTheme="majorEastAsia" w:hAnsiTheme="majorEastAsia" w:cs="方正小标宋简体" w:hint="eastAsia"/>
          <w:b/>
          <w:bCs/>
          <w:color w:val="333333"/>
          <w:spacing w:val="8"/>
          <w:sz w:val="44"/>
          <w:szCs w:val="44"/>
          <w:shd w:val="clear" w:color="auto" w:fill="FFFFFF"/>
        </w:rPr>
      </w:r>
      <w:r w:rsidRPr="00BB7A5F">
        <w:rPr>
          <w:rFonts w:asciiTheme="majorEastAsia" w:eastAsiaTheme="majorEastAsia" w:hAnsiTheme="majorEastAsia" w:cs="方正小标宋简体" w:hint="eastAsia"/>
          <w:b/>
          <w:bCs/>
          <w:color w:val="333333"/>
          <w:spacing w:val="8"/>
          <w:sz w:val="44"/>
          <w:szCs w:val="44"/>
          <w:shd w:val="clear" w:color="auto" w:fill="FFFFFF"/>
        </w:rPr>
        <w:fldChar w:fldCharType="end"/>
      </w:r>
      <w:r w:rsidR="002939F9" w:rsidRPr="00BB7A5F">
        <w:rPr>
          <w:rFonts w:asciiTheme="majorEastAsia" w:eastAsiaTheme="majorEastAsia" w:hAnsiTheme="majorEastAsia" w:cs="方正小标宋简体" w:hint="eastAsia"/>
          <w:b/>
          <w:bCs/>
          <w:color w:val="333333"/>
          <w:spacing w:val="8"/>
          <w:sz w:val="44"/>
          <w:szCs w:val="44"/>
          <w:shd w:val="clear" w:color="auto" w:fill="FFFFFF"/>
        </w:rPr>
        <w:t>民事执行监督中调查核实权的运用与思考</w:t>
      </w:r>
    </w:p>
    <w:p w:rsidR="00687F30" w:rsidRDefault="00687F30" w:rsidP="00EA4C2B">
      <w:pPr>
        <w:pStyle w:val="a6"/>
        <w:widowControl/>
        <w:snapToGrid w:val="0"/>
        <w:spacing w:beforeAutospacing="0" w:afterAutospacing="0"/>
        <w:jc w:val="center"/>
        <w:rPr>
          <w:rFonts w:ascii="仿宋_GB2312" w:eastAsia="仿宋_GB2312" w:hAnsi="微软雅黑" w:cs="仿宋_GB2312"/>
          <w:color w:val="333333"/>
          <w:spacing w:val="8"/>
          <w:sz w:val="31"/>
          <w:szCs w:val="31"/>
          <w:shd w:val="clear" w:color="auto" w:fill="FFFFFF"/>
        </w:rPr>
      </w:pPr>
    </w:p>
    <w:p w:rsidR="00687F30" w:rsidRPr="00BB7A5F" w:rsidRDefault="00471771" w:rsidP="00EA4C2B">
      <w:pPr>
        <w:pStyle w:val="a6"/>
        <w:widowControl/>
        <w:snapToGrid w:val="0"/>
        <w:spacing w:beforeAutospacing="0" w:afterAutospacing="0"/>
        <w:jc w:val="center"/>
        <w:rPr>
          <w:rFonts w:ascii="楷体" w:eastAsia="楷体" w:hAnsi="楷体" w:cs="楷体"/>
          <w:color w:val="333333"/>
          <w:spacing w:val="8"/>
          <w:sz w:val="28"/>
          <w:szCs w:val="28"/>
          <w:shd w:val="clear" w:color="auto" w:fill="FFFFFF"/>
        </w:rPr>
      </w:pPr>
      <w:r>
        <w:rPr>
          <w:rFonts w:ascii="楷体" w:eastAsia="楷体" w:hAnsi="楷体" w:cs="楷体" w:hint="eastAsia"/>
          <w:color w:val="333333"/>
          <w:spacing w:val="8"/>
          <w:sz w:val="28"/>
          <w:szCs w:val="28"/>
          <w:shd w:val="clear" w:color="auto" w:fill="FFFFFF"/>
        </w:rPr>
        <w:t>福建省</w:t>
      </w:r>
      <w:r w:rsidR="002939F9" w:rsidRPr="00BB7A5F">
        <w:rPr>
          <w:rFonts w:ascii="楷体" w:eastAsia="楷体" w:hAnsi="楷体" w:cs="楷体" w:hint="eastAsia"/>
          <w:color w:val="333333"/>
          <w:spacing w:val="8"/>
          <w:sz w:val="28"/>
          <w:szCs w:val="28"/>
          <w:shd w:val="clear" w:color="auto" w:fill="FFFFFF"/>
        </w:rPr>
        <w:t>将乐县人民检察院</w:t>
      </w:r>
      <w:r>
        <w:rPr>
          <w:rFonts w:ascii="楷体" w:eastAsia="楷体" w:hAnsi="楷体" w:cs="楷体" w:hint="eastAsia"/>
          <w:color w:val="333333"/>
          <w:spacing w:val="8"/>
          <w:sz w:val="28"/>
          <w:szCs w:val="28"/>
          <w:shd w:val="clear" w:color="auto" w:fill="FFFFFF"/>
        </w:rPr>
        <w:t xml:space="preserve">   </w:t>
      </w:r>
      <w:r w:rsidR="002939F9" w:rsidRPr="00BB7A5F">
        <w:rPr>
          <w:rFonts w:ascii="楷体" w:eastAsia="楷体" w:hAnsi="楷体" w:cs="楷体" w:hint="eastAsia"/>
          <w:color w:val="333333"/>
          <w:spacing w:val="8"/>
          <w:sz w:val="28"/>
          <w:szCs w:val="28"/>
          <w:shd w:val="clear" w:color="auto" w:fill="FFFFFF"/>
        </w:rPr>
        <w:t>陈雪冰</w:t>
      </w:r>
    </w:p>
    <w:p w:rsidR="00687F30" w:rsidRDefault="00687F30" w:rsidP="00EA4C2B">
      <w:pPr>
        <w:pStyle w:val="a6"/>
        <w:widowControl/>
        <w:snapToGrid w:val="0"/>
        <w:spacing w:beforeAutospacing="0" w:afterAutospacing="0"/>
        <w:ind w:firstLineChars="200" w:firstLine="652"/>
        <w:jc w:val="both"/>
        <w:rPr>
          <w:rFonts w:ascii="仿宋_GB2312" w:eastAsia="仿宋_GB2312" w:hAnsi="微软雅黑" w:cs="仿宋_GB2312"/>
          <w:color w:val="333333"/>
          <w:spacing w:val="8"/>
          <w:sz w:val="31"/>
          <w:szCs w:val="31"/>
          <w:shd w:val="clear" w:color="auto" w:fill="FFFFFF"/>
        </w:rPr>
      </w:pPr>
    </w:p>
    <w:p w:rsidR="00687F30" w:rsidRPr="00EA4C2B" w:rsidRDefault="002939F9" w:rsidP="00EA4C2B">
      <w:pPr>
        <w:pStyle w:val="a6"/>
        <w:widowControl/>
        <w:numPr>
          <w:ilvl w:val="0"/>
          <w:numId w:val="1"/>
        </w:numPr>
        <w:snapToGrid w:val="0"/>
        <w:spacing w:beforeAutospacing="0" w:afterAutospacing="0"/>
        <w:ind w:firstLineChars="200" w:firstLine="592"/>
        <w:jc w:val="both"/>
        <w:rPr>
          <w:rFonts w:ascii="黑体" w:eastAsia="黑体" w:hAnsi="宋体" w:cs="黑体"/>
          <w:color w:val="333333"/>
          <w:spacing w:val="8"/>
          <w:sz w:val="28"/>
          <w:szCs w:val="32"/>
          <w:shd w:val="clear" w:color="auto" w:fill="FFFFFF"/>
        </w:rPr>
      </w:pPr>
      <w:r w:rsidRPr="00EA4C2B">
        <w:rPr>
          <w:rFonts w:ascii="黑体" w:eastAsia="黑体" w:hAnsi="宋体" w:cs="黑体" w:hint="eastAsia"/>
          <w:color w:val="333333"/>
          <w:spacing w:val="8"/>
          <w:sz w:val="28"/>
          <w:szCs w:val="32"/>
          <w:shd w:val="clear" w:color="auto" w:fill="FFFFFF"/>
        </w:rPr>
        <w:t>调查核实权的概念</w:t>
      </w:r>
    </w:p>
    <w:p w:rsidR="00687F30" w:rsidRPr="00BB7A5F"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BB7A5F">
        <w:rPr>
          <w:rFonts w:asciiTheme="minorEastAsia" w:hAnsiTheme="minorEastAsia" w:cs="仿宋_GB2312" w:hint="eastAsia"/>
          <w:color w:val="333333"/>
          <w:spacing w:val="8"/>
          <w:sz w:val="21"/>
          <w:szCs w:val="21"/>
          <w:shd w:val="clear" w:color="auto" w:fill="FFFFFF"/>
        </w:rPr>
        <w:t>现行《民事诉讼法》、《人民检察院组织法》、相关司法解释等对检察机关的调查核实权均作了原则性规定。早在2012年《民事诉讼法》修改时就新增了有关“调查核实权”的内容，其中第二百一十条规定：“人民检察院因履行法律监督职责提出检察建议或者抗诉的需要，可以向当事人或者案外人调查核实有关情况。”</w:t>
      </w:r>
    </w:p>
    <w:p w:rsidR="00687F30" w:rsidRPr="00BB7A5F"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BB7A5F">
        <w:rPr>
          <w:rFonts w:asciiTheme="minorEastAsia" w:hAnsiTheme="minorEastAsia" w:cs="仿宋_GB2312" w:hint="eastAsia"/>
          <w:color w:val="333333"/>
          <w:spacing w:val="8"/>
          <w:sz w:val="21"/>
          <w:szCs w:val="21"/>
          <w:shd w:val="clear" w:color="auto" w:fill="FFFFFF"/>
        </w:rPr>
        <w:t>2013 年《人民检察院民事诉讼监督规则（试行）》（以下简称《民事诉讼监督规则》）第五十条规定:“人民检察院审查案件，应当听取当事人意见，必要时可以听证或者调查核实有关情况。”其中第六十五条对民事检察调查核实权专门作出了更加明确和可操作的规定：“人民检察院因履行法律监督职责提出检察建议或者抗诉的需要，有下列情形之一的，可以向当事人或者案外人调查核实有关情况：（一）民事判决、裁定、调解书可能存在法律规定需要监督的情形，仅通过阅卷及审查现有材料难以认定的；（二）民事审判程序中审判人员可能存在违法行为的；（三）民事执行活动可能存在违法情形的；（四）其他需要调查核实的情形。”</w:t>
      </w:r>
    </w:p>
    <w:p w:rsidR="00687F30" w:rsidRPr="00BB7A5F"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BB7A5F">
        <w:rPr>
          <w:rFonts w:asciiTheme="minorEastAsia" w:hAnsiTheme="minorEastAsia" w:cs="仿宋_GB2312" w:hint="eastAsia"/>
          <w:color w:val="333333"/>
          <w:spacing w:val="8"/>
          <w:sz w:val="21"/>
          <w:szCs w:val="21"/>
          <w:shd w:val="clear" w:color="auto" w:fill="FFFFFF"/>
        </w:rPr>
        <w:t>另外，2018年新修订的《人民检察院组织法》第二十一条进一步明确，“检察院行使本法第二十条规定的法律监督职权，可以进行调查核实，并依法提出抗诉、纠正意见、检察建议。有关单位应当予以配合，并及时将采纳纠正意见、检察建议的情况书面回复人民检察院。”该规定明确了人民检察院行使法律监督职权，可以进行调查核实，并依法提出抗诉、纠正意见、检察建议。</w:t>
      </w:r>
    </w:p>
    <w:p w:rsidR="00687F30" w:rsidRPr="00BB7A5F"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BB7A5F">
        <w:rPr>
          <w:rFonts w:asciiTheme="minorEastAsia" w:hAnsiTheme="minorEastAsia" w:cs="仿宋_GB2312" w:hint="eastAsia"/>
          <w:color w:val="333333"/>
          <w:spacing w:val="8"/>
          <w:sz w:val="21"/>
          <w:szCs w:val="21"/>
          <w:shd w:val="clear" w:color="auto" w:fill="FFFFFF"/>
        </w:rPr>
        <w:t>综上所述，调查核实权是指检察机关履行法律监督，对民事案件是否提起建议或者抗诉的决定，需要采取调阅卷宗、询问、调查取证、核实存疑问题等方式，对案件有关的当事人或者案外人进行调查核实的一项公权力。调查核实权这个术语，并非公认、约定的专有名词，而是在一定条件下，亦符合检察机关发挥职能的作用而形成的，其具有丰富的理论涵义，应覆盖着整个民事诉讼范围。</w:t>
      </w:r>
      <w:r w:rsidR="00CD3554">
        <w:rPr>
          <w:rStyle w:val="a7"/>
          <w:rFonts w:asciiTheme="minorEastAsia" w:hAnsiTheme="minorEastAsia" w:cs="仿宋_GB2312"/>
          <w:color w:val="333333"/>
          <w:spacing w:val="8"/>
          <w:sz w:val="21"/>
          <w:szCs w:val="21"/>
          <w:shd w:val="clear" w:color="auto" w:fill="FFFFFF"/>
        </w:rPr>
        <w:footnoteReference w:id="2"/>
      </w:r>
    </w:p>
    <w:p w:rsidR="00687F30" w:rsidRPr="00EA4C2B" w:rsidRDefault="002939F9" w:rsidP="00EA4C2B">
      <w:pPr>
        <w:pStyle w:val="a6"/>
        <w:widowControl/>
        <w:numPr>
          <w:ilvl w:val="0"/>
          <w:numId w:val="2"/>
        </w:numPr>
        <w:snapToGrid w:val="0"/>
        <w:spacing w:beforeAutospacing="0" w:afterAutospacing="0"/>
        <w:ind w:firstLineChars="200" w:firstLine="592"/>
        <w:jc w:val="both"/>
        <w:rPr>
          <w:rFonts w:ascii="黑体" w:eastAsia="黑体" w:hAnsi="宋体" w:cs="黑体"/>
          <w:color w:val="333333"/>
          <w:spacing w:val="8"/>
          <w:sz w:val="28"/>
          <w:szCs w:val="32"/>
          <w:shd w:val="clear" w:color="auto" w:fill="FFFFFF"/>
        </w:rPr>
      </w:pPr>
      <w:r w:rsidRPr="00EA4C2B">
        <w:rPr>
          <w:rFonts w:ascii="黑体" w:eastAsia="黑体" w:hAnsi="宋体" w:cs="黑体" w:hint="eastAsia"/>
          <w:color w:val="333333"/>
          <w:spacing w:val="8"/>
          <w:sz w:val="28"/>
          <w:szCs w:val="32"/>
          <w:shd w:val="clear" w:color="auto" w:fill="FFFFFF"/>
        </w:rPr>
        <w:t>民事执行监督中调查核实权的意义</w:t>
      </w:r>
    </w:p>
    <w:p w:rsidR="00687F30" w:rsidRPr="007A693F" w:rsidRDefault="00BB7A5F"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Pr>
          <w:rFonts w:asciiTheme="minorEastAsia" w:hAnsiTheme="minorEastAsia" w:cs="仿宋_GB2312" w:hint="eastAsia"/>
          <w:color w:val="333333"/>
          <w:spacing w:val="8"/>
          <w:sz w:val="21"/>
          <w:szCs w:val="21"/>
          <w:shd w:val="clear" w:color="auto" w:fill="FFFFFF"/>
        </w:rPr>
        <w:t>（一）</w:t>
      </w:r>
      <w:r w:rsidR="002939F9" w:rsidRPr="00BB7A5F">
        <w:rPr>
          <w:rFonts w:asciiTheme="minorEastAsia" w:hAnsiTheme="minorEastAsia" w:cs="仿宋_GB2312" w:hint="eastAsia"/>
          <w:color w:val="333333"/>
          <w:spacing w:val="8"/>
          <w:sz w:val="21"/>
          <w:szCs w:val="21"/>
          <w:shd w:val="clear" w:color="auto" w:fill="FFFFFF"/>
        </w:rPr>
        <w:t>有利于查清案件事实，维护合法权益。法院的书面卷宗材料有时候并不能全面、真实地反映客观事实，比如有的当事人会为了维护自己的利益在庭审过程中隐瞒不利的证据，更有甚者还会伪造</w:t>
      </w:r>
      <w:r w:rsidR="00F03906">
        <w:rPr>
          <w:rFonts w:asciiTheme="minorEastAsia" w:hAnsiTheme="minorEastAsia" w:cs="仿宋_GB2312" w:hint="eastAsia"/>
          <w:color w:val="333333"/>
          <w:spacing w:val="8"/>
          <w:sz w:val="21"/>
          <w:szCs w:val="21"/>
          <w:shd w:val="clear" w:color="auto" w:fill="FFFFFF"/>
        </w:rPr>
        <w:t>、</w:t>
      </w:r>
      <w:r w:rsidR="002939F9" w:rsidRPr="00BB7A5F">
        <w:rPr>
          <w:rFonts w:asciiTheme="minorEastAsia" w:hAnsiTheme="minorEastAsia" w:cs="仿宋_GB2312" w:hint="eastAsia"/>
          <w:color w:val="333333"/>
          <w:spacing w:val="8"/>
          <w:sz w:val="21"/>
          <w:szCs w:val="21"/>
          <w:shd w:val="clear" w:color="auto" w:fill="FFFFFF"/>
        </w:rPr>
        <w:t>销毁证据，</w:t>
      </w:r>
      <w:r w:rsidR="00F03906">
        <w:rPr>
          <w:rFonts w:asciiTheme="minorEastAsia" w:hAnsiTheme="minorEastAsia" w:cs="仿宋_GB2312" w:hint="eastAsia"/>
          <w:color w:val="333333"/>
          <w:spacing w:val="8"/>
          <w:sz w:val="21"/>
          <w:szCs w:val="21"/>
          <w:shd w:val="clear" w:color="auto" w:fill="FFFFFF"/>
        </w:rPr>
        <w:t>这</w:t>
      </w:r>
      <w:r w:rsidR="002939F9" w:rsidRPr="00BB7A5F">
        <w:rPr>
          <w:rFonts w:asciiTheme="minorEastAsia" w:hAnsiTheme="minorEastAsia" w:cs="仿宋_GB2312" w:hint="eastAsia"/>
          <w:color w:val="333333"/>
          <w:spacing w:val="8"/>
          <w:sz w:val="21"/>
          <w:szCs w:val="21"/>
          <w:shd w:val="clear" w:color="auto" w:fill="FFFFFF"/>
        </w:rPr>
        <w:t>往往会造成</w:t>
      </w:r>
      <w:r w:rsidR="00F03906">
        <w:rPr>
          <w:rFonts w:asciiTheme="minorEastAsia" w:hAnsiTheme="minorEastAsia" w:cs="仿宋_GB2312" w:hint="eastAsia"/>
          <w:color w:val="333333"/>
          <w:spacing w:val="8"/>
          <w:sz w:val="21"/>
          <w:szCs w:val="21"/>
          <w:shd w:val="clear" w:color="auto" w:fill="FFFFFF"/>
        </w:rPr>
        <w:t>冤假</w:t>
      </w:r>
      <w:r w:rsidR="002939F9" w:rsidRPr="00BB7A5F">
        <w:rPr>
          <w:rFonts w:asciiTheme="minorEastAsia" w:hAnsiTheme="minorEastAsia" w:cs="仿宋_GB2312" w:hint="eastAsia"/>
          <w:color w:val="333333"/>
          <w:spacing w:val="8"/>
          <w:sz w:val="21"/>
          <w:szCs w:val="21"/>
          <w:shd w:val="clear" w:color="auto" w:fill="FFFFFF"/>
        </w:rPr>
        <w:t>错案的产生。因此，</w:t>
      </w:r>
      <w:r w:rsidR="00F03906" w:rsidRPr="00BB7A5F">
        <w:rPr>
          <w:rFonts w:asciiTheme="minorEastAsia" w:hAnsiTheme="minorEastAsia" w:cs="仿宋_GB2312" w:hint="eastAsia"/>
          <w:color w:val="333333"/>
          <w:spacing w:val="8"/>
          <w:sz w:val="21"/>
          <w:szCs w:val="21"/>
          <w:shd w:val="clear" w:color="auto" w:fill="FFFFFF"/>
        </w:rPr>
        <w:t>检察机关判断法院裁判结果是否合法合理的前提</w:t>
      </w:r>
      <w:r w:rsidR="00F03906">
        <w:rPr>
          <w:rFonts w:asciiTheme="minorEastAsia" w:hAnsiTheme="minorEastAsia" w:cs="仿宋_GB2312" w:hint="eastAsia"/>
          <w:color w:val="333333"/>
          <w:spacing w:val="8"/>
          <w:sz w:val="21"/>
          <w:szCs w:val="21"/>
          <w:shd w:val="clear" w:color="auto" w:fill="FFFFFF"/>
        </w:rPr>
        <w:t>就是要调查核实清楚案件的真实情况以及法院审理案件的过程，调查核实不仅有利于检察机关更好地</w:t>
      </w:r>
      <w:r w:rsidR="002939F9" w:rsidRPr="00BB7A5F">
        <w:rPr>
          <w:rFonts w:asciiTheme="minorEastAsia" w:hAnsiTheme="minorEastAsia" w:cs="仿宋_GB2312" w:hint="eastAsia"/>
          <w:color w:val="333333"/>
          <w:spacing w:val="8"/>
          <w:sz w:val="21"/>
          <w:szCs w:val="21"/>
          <w:shd w:val="clear" w:color="auto" w:fill="FFFFFF"/>
        </w:rPr>
        <w:t>法律监督职能，</w:t>
      </w:r>
      <w:r w:rsidR="007A693F">
        <w:rPr>
          <w:rFonts w:asciiTheme="minorEastAsia" w:hAnsiTheme="minorEastAsia" w:cs="仿宋_GB2312" w:hint="eastAsia"/>
          <w:color w:val="333333"/>
          <w:spacing w:val="8"/>
          <w:sz w:val="21"/>
          <w:szCs w:val="21"/>
          <w:shd w:val="clear" w:color="auto" w:fill="FFFFFF"/>
        </w:rPr>
        <w:t>更有利于维护当事人合法权益。</w:t>
      </w:r>
      <w:r w:rsidR="00CD3554">
        <w:rPr>
          <w:rStyle w:val="a7"/>
          <w:rFonts w:asciiTheme="minorEastAsia" w:hAnsiTheme="minorEastAsia" w:cs="仿宋_GB2312"/>
          <w:color w:val="333333"/>
          <w:spacing w:val="8"/>
          <w:sz w:val="21"/>
          <w:szCs w:val="21"/>
          <w:shd w:val="clear" w:color="auto" w:fill="FFFFFF"/>
        </w:rPr>
        <w:footnoteReference w:id="3"/>
      </w:r>
    </w:p>
    <w:p w:rsidR="00687F30" w:rsidRPr="00BB7A5F" w:rsidRDefault="00BB7A5F"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Pr>
          <w:rFonts w:asciiTheme="minorEastAsia" w:hAnsiTheme="minorEastAsia" w:cs="仿宋_GB2312" w:hint="eastAsia"/>
          <w:color w:val="333333"/>
          <w:spacing w:val="8"/>
          <w:sz w:val="21"/>
          <w:szCs w:val="21"/>
          <w:shd w:val="clear" w:color="auto" w:fill="FFFFFF"/>
        </w:rPr>
        <w:t>（二）</w:t>
      </w:r>
      <w:r w:rsidR="002939F9" w:rsidRPr="00BB7A5F">
        <w:rPr>
          <w:rFonts w:asciiTheme="minorEastAsia" w:hAnsiTheme="minorEastAsia" w:cs="仿宋_GB2312" w:hint="eastAsia"/>
          <w:color w:val="333333"/>
          <w:spacing w:val="8"/>
          <w:sz w:val="21"/>
          <w:szCs w:val="21"/>
          <w:shd w:val="clear" w:color="auto" w:fill="FFFFFF"/>
        </w:rPr>
        <w:t>有利于保护弱势群体，弥补证据缺陷。检察机关履行监督职能对民事案件予以调查核实，实行公力救济，既可以保护弱势群体的合法权益，同时也可以弥补法院执行活动不规范可能造成的缺陷。比如，2016年2月，外来务工人员陈某秀在将乐某菌种厂务工时发生工伤，经县仲裁委调解，该菌种厂需支付陈某秀务工工资、赔偿金等各项费用53800元。因该菌种厂未支付工资，陈某秀于2018年1月向县法院申请执行。法院在执行过程中发现该菌种厂无可供执行的财产，至此执行进入僵局。受理该案后，检察官仔细审查案件，寻找执行突破口。经过</w:t>
      </w:r>
      <w:r w:rsidR="00455C1F">
        <w:rPr>
          <w:rFonts w:asciiTheme="minorEastAsia" w:hAnsiTheme="minorEastAsia" w:cs="仿宋_GB2312" w:hint="eastAsia"/>
          <w:color w:val="333333"/>
          <w:spacing w:val="8"/>
          <w:sz w:val="21"/>
          <w:szCs w:val="21"/>
          <w:shd w:val="clear" w:color="auto" w:fill="FFFFFF"/>
        </w:rPr>
        <w:t>进一步</w:t>
      </w:r>
      <w:r w:rsidR="002939F9" w:rsidRPr="00BB7A5F">
        <w:rPr>
          <w:rFonts w:asciiTheme="minorEastAsia" w:hAnsiTheme="minorEastAsia" w:cs="仿宋_GB2312" w:hint="eastAsia"/>
          <w:color w:val="333333"/>
          <w:spacing w:val="8"/>
          <w:sz w:val="21"/>
          <w:szCs w:val="21"/>
          <w:shd w:val="clear" w:color="auto" w:fill="FFFFFF"/>
        </w:rPr>
        <w:t>调查核实，</w:t>
      </w:r>
      <w:r w:rsidR="0092499E">
        <w:rPr>
          <w:rFonts w:asciiTheme="minorEastAsia" w:hAnsiTheme="minorEastAsia" w:cs="仿宋_GB2312" w:hint="eastAsia"/>
          <w:color w:val="333333"/>
          <w:spacing w:val="8"/>
          <w:sz w:val="21"/>
          <w:szCs w:val="21"/>
          <w:shd w:val="clear" w:color="auto" w:fill="FFFFFF"/>
        </w:rPr>
        <w:t>办案人员</w:t>
      </w:r>
      <w:r w:rsidR="002939F9" w:rsidRPr="00BB7A5F">
        <w:rPr>
          <w:rFonts w:asciiTheme="minorEastAsia" w:hAnsiTheme="minorEastAsia" w:cs="仿宋_GB2312" w:hint="eastAsia"/>
          <w:color w:val="333333"/>
          <w:spacing w:val="8"/>
          <w:sz w:val="21"/>
          <w:szCs w:val="21"/>
          <w:shd w:val="clear" w:color="auto" w:fill="FFFFFF"/>
        </w:rPr>
        <w:t>发现菌种厂系个体工商户，其负责人有财产可供执行，遂向县法院发出检察建议书，最终将执行款全部执行到位。</w:t>
      </w:r>
    </w:p>
    <w:p w:rsidR="00687F30" w:rsidRDefault="002939F9" w:rsidP="00EA4C2B">
      <w:pPr>
        <w:pStyle w:val="a6"/>
        <w:widowControl/>
        <w:snapToGrid w:val="0"/>
        <w:spacing w:beforeAutospacing="0" w:afterAutospacing="0"/>
        <w:ind w:firstLineChars="200" w:firstLine="452"/>
        <w:jc w:val="both"/>
        <w:rPr>
          <w:rFonts w:ascii="仿宋_GB2312" w:eastAsia="仿宋_GB2312" w:hAnsi="微软雅黑" w:cs="仿宋_GB2312"/>
          <w:color w:val="333333"/>
          <w:spacing w:val="8"/>
          <w:sz w:val="31"/>
          <w:szCs w:val="31"/>
          <w:shd w:val="clear" w:color="auto" w:fill="FFFFFF"/>
        </w:rPr>
      </w:pPr>
      <w:r w:rsidRPr="00BB7A5F">
        <w:rPr>
          <w:rFonts w:asciiTheme="minorEastAsia" w:hAnsiTheme="minorEastAsia" w:cs="仿宋_GB2312" w:hint="eastAsia"/>
          <w:color w:val="333333"/>
          <w:spacing w:val="8"/>
          <w:sz w:val="21"/>
          <w:szCs w:val="21"/>
          <w:shd w:val="clear" w:color="auto" w:fill="FFFFFF"/>
        </w:rPr>
        <w:t>（三）有利于实现全面多元监督，拓展监督空间。规范运用民事检察调查核实权，可以将常规手段无法有效监督的违法行为纳入检察监督视野，通过诉讼过程违法调查与纠正，构建对诉讼过程的动态监督机制，有效延伸覆盖监督触角。针对法院民事审判执行活动中的诉</w:t>
      </w:r>
      <w:r w:rsidRPr="00BB7A5F">
        <w:rPr>
          <w:rFonts w:asciiTheme="minorEastAsia" w:hAnsiTheme="minorEastAsia" w:cs="仿宋_GB2312" w:hint="eastAsia"/>
          <w:color w:val="333333"/>
          <w:spacing w:val="8"/>
          <w:sz w:val="21"/>
          <w:szCs w:val="21"/>
          <w:shd w:val="clear" w:color="auto" w:fill="FFFFFF"/>
        </w:rPr>
        <w:lastRenderedPageBreak/>
        <w:t>前保全裁定错误、诉讼程序不规范、执行中的违法问题等等，也只有合理运用民事检察调查核实权，实现全面监督，才能保证法律监督落到实处。</w:t>
      </w:r>
    </w:p>
    <w:p w:rsidR="00687F30" w:rsidRDefault="002939F9" w:rsidP="00EA4C2B">
      <w:pPr>
        <w:pStyle w:val="a6"/>
        <w:widowControl/>
        <w:snapToGrid w:val="0"/>
        <w:spacing w:beforeAutospacing="0" w:afterAutospacing="0"/>
        <w:ind w:firstLineChars="200" w:firstLine="452"/>
        <w:jc w:val="both"/>
        <w:rPr>
          <w:rFonts w:ascii="仿宋_GB2312" w:eastAsia="仿宋_GB2312" w:hAnsi="微软雅黑" w:cs="仿宋_GB2312"/>
          <w:color w:val="333333"/>
          <w:spacing w:val="8"/>
          <w:sz w:val="31"/>
          <w:szCs w:val="31"/>
          <w:shd w:val="clear" w:color="auto" w:fill="FFFFFF"/>
        </w:rPr>
      </w:pPr>
      <w:r w:rsidRPr="00BB7A5F">
        <w:rPr>
          <w:rFonts w:asciiTheme="minorEastAsia" w:hAnsiTheme="minorEastAsia" w:cs="仿宋_GB2312" w:hint="eastAsia"/>
          <w:color w:val="333333"/>
          <w:spacing w:val="8"/>
          <w:sz w:val="21"/>
          <w:szCs w:val="21"/>
          <w:shd w:val="clear" w:color="auto" w:fill="FFFFFF"/>
        </w:rPr>
        <w:t>（四）打击虚假诉讼，维护司法诚信。实践中，检察机关通过行使调查核实权不仅有利于大幅提高抗诉和检察建议案件的办案质量，而且还有助于及时发现虚假诉讼或职务犯罪线索，维护司法诚信。比如，2014年将乐某机械厂法定代表人张某某因欠银行1500万债务被法院查封厂房并进入执行程序。为了享有参与分配优先权，转移自己财产，张某某以工厂的名义与许某某等13人相互串通，虚构劳动关系和欠薪共计人民币，并向将乐县劳动争议仲裁委员会申请劳动仲裁在劳动仲裁部门的调解下，双方达成该厂支付工资150余万元调解协议，并由仲裁部门制作调解书，后许某某等人依据仲裁调解书向法院申请强制执行。将乐县检察院经调查核实</w:t>
      </w:r>
      <w:r w:rsidR="00BA024E">
        <w:rPr>
          <w:rFonts w:asciiTheme="minorEastAsia" w:hAnsiTheme="minorEastAsia" w:cs="仿宋_GB2312" w:hint="eastAsia"/>
          <w:color w:val="333333"/>
          <w:spacing w:val="8"/>
          <w:sz w:val="21"/>
          <w:szCs w:val="21"/>
          <w:shd w:val="clear" w:color="auto" w:fill="FFFFFF"/>
        </w:rPr>
        <w:t>，发现该案系</w:t>
      </w:r>
      <w:r w:rsidR="00BA024E" w:rsidRPr="00BB7A5F">
        <w:rPr>
          <w:rFonts w:asciiTheme="minorEastAsia" w:hAnsiTheme="minorEastAsia" w:cs="仿宋_GB2312" w:hint="eastAsia"/>
          <w:color w:val="333333"/>
          <w:spacing w:val="8"/>
          <w:sz w:val="21"/>
          <w:szCs w:val="21"/>
          <w:shd w:val="clear" w:color="auto" w:fill="FFFFFF"/>
        </w:rPr>
        <w:t>虚构劳动关系</w:t>
      </w:r>
      <w:r w:rsidR="00BA024E">
        <w:rPr>
          <w:rFonts w:asciiTheme="minorEastAsia" w:hAnsiTheme="minorEastAsia" w:cs="仿宋_GB2312" w:hint="eastAsia"/>
          <w:color w:val="333333"/>
          <w:spacing w:val="8"/>
          <w:sz w:val="21"/>
          <w:szCs w:val="21"/>
          <w:shd w:val="clear" w:color="auto" w:fill="FFFFFF"/>
        </w:rPr>
        <w:t>,恶意参与分配。于是，及时</w:t>
      </w:r>
      <w:r w:rsidRPr="00BB7A5F">
        <w:rPr>
          <w:rFonts w:asciiTheme="minorEastAsia" w:hAnsiTheme="minorEastAsia" w:cs="仿宋_GB2312" w:hint="eastAsia"/>
          <w:color w:val="333333"/>
          <w:spacing w:val="8"/>
          <w:sz w:val="21"/>
          <w:szCs w:val="21"/>
          <w:shd w:val="clear" w:color="auto" w:fill="FFFFFF"/>
        </w:rPr>
        <w:t>向劳动仲裁部门</w:t>
      </w:r>
      <w:r w:rsidR="00BA024E">
        <w:rPr>
          <w:rFonts w:asciiTheme="minorEastAsia" w:hAnsiTheme="minorEastAsia" w:cs="仿宋_GB2312" w:hint="eastAsia"/>
          <w:color w:val="333333"/>
          <w:spacing w:val="8"/>
          <w:sz w:val="21"/>
          <w:szCs w:val="21"/>
          <w:shd w:val="clear" w:color="auto" w:fill="FFFFFF"/>
        </w:rPr>
        <w:t>和</w:t>
      </w:r>
      <w:r w:rsidR="00BA024E" w:rsidRPr="00BB7A5F">
        <w:rPr>
          <w:rFonts w:asciiTheme="minorEastAsia" w:hAnsiTheme="minorEastAsia" w:cs="仿宋_GB2312" w:hint="eastAsia"/>
          <w:color w:val="333333"/>
          <w:spacing w:val="8"/>
          <w:sz w:val="21"/>
          <w:szCs w:val="21"/>
          <w:shd w:val="clear" w:color="auto" w:fill="FFFFFF"/>
        </w:rPr>
        <w:t>人民法院</w:t>
      </w:r>
      <w:r w:rsidR="000E22A5">
        <w:rPr>
          <w:rFonts w:asciiTheme="minorEastAsia" w:hAnsiTheme="minorEastAsia" w:cs="仿宋_GB2312" w:hint="eastAsia"/>
          <w:color w:val="333333"/>
          <w:spacing w:val="8"/>
          <w:sz w:val="21"/>
          <w:szCs w:val="21"/>
          <w:shd w:val="clear" w:color="auto" w:fill="FFFFFF"/>
        </w:rPr>
        <w:t>发出检察建议书。</w:t>
      </w:r>
      <w:r w:rsidR="00BA024E">
        <w:rPr>
          <w:rFonts w:asciiTheme="minorEastAsia" w:hAnsiTheme="minorEastAsia" w:cs="仿宋_GB2312" w:hint="eastAsia"/>
          <w:color w:val="333333"/>
          <w:spacing w:val="8"/>
          <w:sz w:val="21"/>
          <w:szCs w:val="21"/>
          <w:shd w:val="clear" w:color="auto" w:fill="FFFFFF"/>
        </w:rPr>
        <w:t>最终，</w:t>
      </w:r>
      <w:r w:rsidRPr="00BB7A5F">
        <w:rPr>
          <w:rFonts w:asciiTheme="minorEastAsia" w:hAnsiTheme="minorEastAsia" w:cs="仿宋_GB2312" w:hint="eastAsia"/>
          <w:color w:val="333333"/>
          <w:spacing w:val="8"/>
          <w:sz w:val="21"/>
          <w:szCs w:val="21"/>
          <w:shd w:val="clear" w:color="auto" w:fill="FFFFFF"/>
        </w:rPr>
        <w:t>仲</w:t>
      </w:r>
      <w:r w:rsidR="00BA024E">
        <w:rPr>
          <w:rFonts w:asciiTheme="minorEastAsia" w:hAnsiTheme="minorEastAsia" w:cs="仿宋_GB2312" w:hint="eastAsia"/>
          <w:color w:val="333333"/>
          <w:spacing w:val="8"/>
          <w:sz w:val="21"/>
          <w:szCs w:val="21"/>
          <w:shd w:val="clear" w:color="auto" w:fill="FFFFFF"/>
        </w:rPr>
        <w:t>裁委</w:t>
      </w:r>
      <w:r w:rsidRPr="00BB7A5F">
        <w:rPr>
          <w:rFonts w:asciiTheme="minorEastAsia" w:hAnsiTheme="minorEastAsia" w:cs="仿宋_GB2312" w:hint="eastAsia"/>
          <w:color w:val="333333"/>
          <w:spacing w:val="8"/>
          <w:sz w:val="21"/>
          <w:szCs w:val="21"/>
          <w:shd w:val="clear" w:color="auto" w:fill="FFFFFF"/>
        </w:rPr>
        <w:t>决定</w:t>
      </w:r>
      <w:r w:rsidR="00BA024E">
        <w:rPr>
          <w:rFonts w:asciiTheme="minorEastAsia" w:hAnsiTheme="minorEastAsia" w:cs="仿宋_GB2312" w:hint="eastAsia"/>
          <w:color w:val="333333"/>
          <w:spacing w:val="8"/>
          <w:sz w:val="21"/>
          <w:szCs w:val="21"/>
          <w:shd w:val="clear" w:color="auto" w:fill="FFFFFF"/>
        </w:rPr>
        <w:t>撤销该仲裁调解书，法院裁定该案终结执行</w:t>
      </w:r>
      <w:r w:rsidRPr="00BB7A5F">
        <w:rPr>
          <w:rFonts w:asciiTheme="minorEastAsia" w:hAnsiTheme="minorEastAsia" w:cs="仿宋_GB2312" w:hint="eastAsia"/>
          <w:color w:val="333333"/>
          <w:spacing w:val="8"/>
          <w:sz w:val="21"/>
          <w:szCs w:val="21"/>
          <w:shd w:val="clear" w:color="auto" w:fill="FFFFFF"/>
        </w:rPr>
        <w:t>。张某某因犯拒不执行判决、裁定罪被人民法院判处有期徒刑1年。</w:t>
      </w:r>
      <w:r w:rsidR="00CD3554">
        <w:rPr>
          <w:rStyle w:val="a7"/>
          <w:rFonts w:asciiTheme="minorEastAsia" w:hAnsiTheme="minorEastAsia" w:cs="仿宋_GB2312"/>
          <w:color w:val="333333"/>
          <w:spacing w:val="8"/>
          <w:sz w:val="21"/>
          <w:szCs w:val="21"/>
          <w:shd w:val="clear" w:color="auto" w:fill="FFFFFF"/>
        </w:rPr>
        <w:footnoteReference w:id="4"/>
      </w:r>
    </w:p>
    <w:p w:rsidR="00687F30" w:rsidRDefault="002939F9" w:rsidP="00EA4C2B">
      <w:pPr>
        <w:pStyle w:val="a6"/>
        <w:widowControl/>
        <w:snapToGrid w:val="0"/>
        <w:spacing w:beforeAutospacing="0" w:afterAutospacing="0"/>
        <w:ind w:firstLineChars="200" w:firstLine="452"/>
        <w:jc w:val="both"/>
        <w:rPr>
          <w:rFonts w:ascii="仿宋_GB2312" w:eastAsia="仿宋_GB2312" w:hAnsi="微软雅黑" w:cs="仿宋_GB2312"/>
          <w:color w:val="333333"/>
          <w:spacing w:val="8"/>
          <w:sz w:val="31"/>
          <w:szCs w:val="31"/>
          <w:shd w:val="clear" w:color="auto" w:fill="FFFFFF"/>
        </w:rPr>
      </w:pPr>
      <w:r w:rsidRPr="00BB7A5F">
        <w:rPr>
          <w:rFonts w:asciiTheme="minorEastAsia" w:hAnsiTheme="minorEastAsia" w:cs="仿宋_GB2312" w:hint="eastAsia"/>
          <w:color w:val="333333"/>
          <w:spacing w:val="8"/>
          <w:sz w:val="21"/>
          <w:szCs w:val="21"/>
          <w:shd w:val="clear" w:color="auto" w:fill="FFFFFF"/>
        </w:rPr>
        <w:t>（五）破解“执行难”，有利于当事人息诉罢访。执行程序问题易发、多发，实践中大量存在着违法黑洞乱象，执行难与执行乱深受垢病，长期是检察监督的薄弱环节乃至盲区。检察机关唯有调查好案情、核实清事实，才能有效地解决损害国家和社会公共利益、案外人执行异议、司法腐败、“执行乱”、“执行难”等问题。在传统民事裁判结果监督和执行监督案件中，查勘物证、现场可以更好地了解矛盾的起因和现状，帮助承办人全面掌握案情，对于平复当事人的激动情绪、息诉罢访有较好的效果。</w:t>
      </w:r>
    </w:p>
    <w:p w:rsidR="00687F30" w:rsidRPr="00EA4C2B" w:rsidRDefault="002939F9" w:rsidP="00EA4C2B">
      <w:pPr>
        <w:pStyle w:val="a6"/>
        <w:widowControl/>
        <w:numPr>
          <w:ilvl w:val="0"/>
          <w:numId w:val="2"/>
        </w:numPr>
        <w:snapToGrid w:val="0"/>
        <w:spacing w:beforeAutospacing="0" w:afterAutospacing="0"/>
        <w:ind w:firstLineChars="200" w:firstLine="592"/>
        <w:jc w:val="both"/>
        <w:rPr>
          <w:rFonts w:ascii="黑体" w:eastAsia="黑体" w:hAnsi="宋体" w:cs="黑体"/>
          <w:color w:val="333333"/>
          <w:spacing w:val="8"/>
          <w:sz w:val="28"/>
          <w:szCs w:val="32"/>
          <w:shd w:val="clear" w:color="auto" w:fill="FFFFFF"/>
        </w:rPr>
      </w:pPr>
      <w:r w:rsidRPr="00EA4C2B">
        <w:rPr>
          <w:rFonts w:ascii="黑体" w:eastAsia="黑体" w:hAnsi="宋体" w:cs="黑体" w:hint="eastAsia"/>
          <w:color w:val="333333"/>
          <w:spacing w:val="8"/>
          <w:sz w:val="28"/>
          <w:szCs w:val="32"/>
          <w:shd w:val="clear" w:color="auto" w:fill="FFFFFF"/>
        </w:rPr>
        <w:t>民事执行监督中调查核实权的运用现状</w:t>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hint="eastAsia"/>
          <w:color w:val="333333"/>
          <w:spacing w:val="8"/>
          <w:sz w:val="21"/>
          <w:szCs w:val="21"/>
          <w:shd w:val="clear" w:color="auto" w:fill="FFFFFF"/>
        </w:rPr>
        <w:t>《民事诉讼监督规则》第六十五条第三款规定</w:t>
      </w:r>
      <w:r w:rsidR="000F57CD">
        <w:rPr>
          <w:rFonts w:asciiTheme="minorEastAsia" w:hAnsiTheme="minorEastAsia" w:cs="仿宋_GB2312" w:hint="eastAsia"/>
          <w:color w:val="333333"/>
          <w:spacing w:val="8"/>
          <w:sz w:val="21"/>
          <w:szCs w:val="21"/>
          <w:shd w:val="clear" w:color="auto" w:fill="FFFFFF"/>
        </w:rPr>
        <w:t>了检察院在执行监督中可以对</w:t>
      </w:r>
      <w:r w:rsidRPr="00516705">
        <w:rPr>
          <w:rFonts w:asciiTheme="minorEastAsia" w:hAnsiTheme="minorEastAsia" w:cs="仿宋_GB2312" w:hint="eastAsia"/>
          <w:color w:val="333333"/>
          <w:spacing w:val="8"/>
          <w:sz w:val="21"/>
          <w:szCs w:val="21"/>
          <w:shd w:val="clear" w:color="auto" w:fill="FFFFFF"/>
        </w:rPr>
        <w:t>“民事执行活动可能存在违法情形的”</w:t>
      </w:r>
      <w:r w:rsidR="000F57CD">
        <w:rPr>
          <w:rFonts w:asciiTheme="minorEastAsia" w:hAnsiTheme="minorEastAsia" w:cs="仿宋_GB2312" w:hint="eastAsia"/>
          <w:color w:val="333333"/>
          <w:spacing w:val="8"/>
          <w:sz w:val="21"/>
          <w:szCs w:val="21"/>
          <w:shd w:val="clear" w:color="auto" w:fill="FFFFFF"/>
        </w:rPr>
        <w:t>情况行使调查核实权</w:t>
      </w:r>
      <w:r w:rsidR="00514486">
        <w:rPr>
          <w:rFonts w:asciiTheme="minorEastAsia" w:hAnsiTheme="minorEastAsia" w:cs="仿宋_GB2312" w:hint="eastAsia"/>
          <w:color w:val="333333"/>
          <w:spacing w:val="8"/>
          <w:sz w:val="21"/>
          <w:szCs w:val="21"/>
          <w:shd w:val="clear" w:color="auto" w:fill="FFFFFF"/>
        </w:rPr>
        <w:t>。目前，人民检察院对执行活动监督的重点</w:t>
      </w:r>
      <w:r w:rsidRPr="00516705">
        <w:rPr>
          <w:rFonts w:asciiTheme="minorEastAsia" w:hAnsiTheme="minorEastAsia" w:cs="仿宋_GB2312" w:hint="eastAsia"/>
          <w:color w:val="333333"/>
          <w:spacing w:val="8"/>
          <w:sz w:val="21"/>
          <w:szCs w:val="21"/>
          <w:shd w:val="clear" w:color="auto" w:fill="FFFFFF"/>
        </w:rPr>
        <w:t>是执行乱问题，即执行人员在执行活动中的违法行为。对于不执行、超出标的执行、执行案外人的财产、违法终结等情形，以及一些必须以文字书面记载的执法行为，一旦发生，通过查阅人民法院的执行卷宗就可以认定。而像怠于执行、法律文书应送达而未送达、拘留被执行人不通知家属等违法行为比较隐蔽，通过审查人民法院的执行卷宗仍然难以认定的，检察机关可以向案件当事人和相关案外人进行调查核实，查明执行活动是否确实存在违法情形。按照《民事诉讼法》第二百一十、二百三十五条和相关司法解释的规定，检察机关有权在执行程序向当事人或案外人调查核实有关情况，调查收集有关债务人、案外第三人的情况，还可提出纠正违法、督促履职等类型的检察建议。</w:t>
      </w:r>
      <w:r w:rsidR="00CD3554">
        <w:rPr>
          <w:rStyle w:val="a7"/>
          <w:rFonts w:asciiTheme="minorEastAsia" w:hAnsiTheme="minorEastAsia" w:cs="仿宋_GB2312"/>
          <w:color w:val="333333"/>
          <w:spacing w:val="8"/>
          <w:sz w:val="21"/>
          <w:szCs w:val="21"/>
          <w:shd w:val="clear" w:color="auto" w:fill="FFFFFF"/>
        </w:rPr>
        <w:footnoteReference w:id="5"/>
      </w:r>
    </w:p>
    <w:p w:rsidR="00687F30" w:rsidRPr="00EA4C2B" w:rsidRDefault="002939F9" w:rsidP="00EA4C2B">
      <w:pPr>
        <w:pStyle w:val="a6"/>
        <w:widowControl/>
        <w:numPr>
          <w:ilvl w:val="0"/>
          <w:numId w:val="2"/>
        </w:numPr>
        <w:snapToGrid w:val="0"/>
        <w:spacing w:beforeAutospacing="0" w:afterAutospacing="0"/>
        <w:ind w:firstLineChars="200" w:firstLine="592"/>
        <w:jc w:val="both"/>
        <w:rPr>
          <w:rFonts w:ascii="黑体" w:eastAsia="黑体" w:hAnsi="宋体" w:cs="黑体"/>
          <w:color w:val="333333"/>
          <w:spacing w:val="8"/>
          <w:sz w:val="28"/>
          <w:szCs w:val="32"/>
          <w:shd w:val="clear" w:color="auto" w:fill="FFFFFF"/>
        </w:rPr>
      </w:pPr>
      <w:r w:rsidRPr="00EA4C2B">
        <w:rPr>
          <w:rFonts w:ascii="黑体" w:eastAsia="黑体" w:hAnsi="宋体" w:cs="黑体" w:hint="eastAsia"/>
          <w:color w:val="333333"/>
          <w:spacing w:val="8"/>
          <w:sz w:val="28"/>
          <w:szCs w:val="32"/>
          <w:shd w:val="clear" w:color="auto" w:fill="FFFFFF"/>
        </w:rPr>
        <w:t>民事执行监督中调查核实权运用存在的问题</w:t>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hint="eastAsia"/>
          <w:color w:val="333333"/>
          <w:spacing w:val="8"/>
          <w:sz w:val="21"/>
          <w:szCs w:val="21"/>
          <w:shd w:val="clear" w:color="auto" w:fill="FFFFFF"/>
        </w:rPr>
        <w:t>（一）办案人员认识不足。</w:t>
      </w:r>
      <w:r w:rsidR="00EA4C2B">
        <w:rPr>
          <w:rFonts w:asciiTheme="minorEastAsia" w:hAnsiTheme="minorEastAsia" w:cs="仿宋_GB2312" w:hint="eastAsia"/>
          <w:color w:val="333333"/>
          <w:spacing w:val="8"/>
          <w:sz w:val="21"/>
          <w:szCs w:val="21"/>
          <w:shd w:val="clear" w:color="auto" w:fill="FFFFFF"/>
        </w:rPr>
        <w:t>由于受到检察办案人员整体素质和执法环境等因素的影响，检察机关对于调查核实权的态度不尽相同。有的相对较为理性，在行使调查核实权时持有保守谨慎的态度；有的乱用、过度滥用调查核实权，扩大适用范围；有的</w:t>
      </w:r>
      <w:r w:rsidRPr="00516705">
        <w:rPr>
          <w:rFonts w:asciiTheme="minorEastAsia" w:hAnsiTheme="minorEastAsia" w:cs="仿宋_GB2312" w:hint="eastAsia"/>
          <w:color w:val="333333"/>
          <w:spacing w:val="8"/>
          <w:sz w:val="21"/>
          <w:szCs w:val="21"/>
          <w:shd w:val="clear" w:color="auto" w:fill="FFFFFF"/>
        </w:rPr>
        <w:t>民事检察办案人员</w:t>
      </w:r>
      <w:r w:rsidR="00EA4C2B">
        <w:rPr>
          <w:rFonts w:asciiTheme="minorEastAsia" w:hAnsiTheme="minorEastAsia" w:cs="仿宋_GB2312" w:hint="eastAsia"/>
          <w:color w:val="333333"/>
          <w:spacing w:val="8"/>
          <w:sz w:val="21"/>
          <w:szCs w:val="21"/>
          <w:shd w:val="clear" w:color="auto" w:fill="FFFFFF"/>
        </w:rPr>
        <w:t>则缺乏运用</w:t>
      </w:r>
      <w:r w:rsidRPr="00516705">
        <w:rPr>
          <w:rFonts w:asciiTheme="minorEastAsia" w:hAnsiTheme="minorEastAsia" w:cs="仿宋_GB2312" w:hint="eastAsia"/>
          <w:color w:val="333333"/>
          <w:spacing w:val="8"/>
          <w:sz w:val="21"/>
          <w:szCs w:val="21"/>
          <w:shd w:val="clear" w:color="auto" w:fill="FFFFFF"/>
        </w:rPr>
        <w:t>的积极性，</w:t>
      </w:r>
      <w:r w:rsidR="00EA4C2B">
        <w:rPr>
          <w:rFonts w:asciiTheme="minorEastAsia" w:hAnsiTheme="minorEastAsia" w:cs="仿宋_GB2312" w:hint="eastAsia"/>
          <w:color w:val="333333"/>
          <w:spacing w:val="8"/>
          <w:sz w:val="21"/>
          <w:szCs w:val="21"/>
          <w:shd w:val="clear" w:color="auto" w:fill="FFFFFF"/>
        </w:rPr>
        <w:t>怠于行使调查核实权，</w:t>
      </w:r>
      <w:r w:rsidR="00EA4C2B" w:rsidRPr="00516705">
        <w:rPr>
          <w:rFonts w:asciiTheme="minorEastAsia" w:hAnsiTheme="minorEastAsia" w:cs="仿宋_GB2312" w:hint="eastAsia"/>
          <w:color w:val="333333"/>
          <w:spacing w:val="8"/>
          <w:sz w:val="21"/>
          <w:szCs w:val="21"/>
          <w:shd w:val="clear" w:color="auto" w:fill="FFFFFF"/>
        </w:rPr>
        <w:t>存在不愿调查</w:t>
      </w:r>
      <w:r w:rsidR="007F33AB">
        <w:rPr>
          <w:rFonts w:asciiTheme="minorEastAsia" w:hAnsiTheme="minorEastAsia" w:cs="仿宋_GB2312" w:hint="eastAsia"/>
          <w:color w:val="333333"/>
          <w:spacing w:val="8"/>
          <w:sz w:val="21"/>
          <w:szCs w:val="21"/>
          <w:shd w:val="clear" w:color="auto" w:fill="FFFFFF"/>
        </w:rPr>
        <w:t>、</w:t>
      </w:r>
      <w:r w:rsidR="00EA4C2B" w:rsidRPr="00516705">
        <w:rPr>
          <w:rFonts w:asciiTheme="minorEastAsia" w:hAnsiTheme="minorEastAsia" w:cs="仿宋_GB2312" w:hint="eastAsia"/>
          <w:color w:val="333333"/>
          <w:spacing w:val="8"/>
          <w:sz w:val="21"/>
          <w:szCs w:val="21"/>
          <w:shd w:val="clear" w:color="auto" w:fill="FFFFFF"/>
        </w:rPr>
        <w:t>不敢调查</w:t>
      </w:r>
      <w:r w:rsidR="007F33AB">
        <w:rPr>
          <w:rFonts w:asciiTheme="minorEastAsia" w:hAnsiTheme="minorEastAsia" w:cs="仿宋_GB2312" w:hint="eastAsia"/>
          <w:color w:val="333333"/>
          <w:spacing w:val="8"/>
          <w:sz w:val="21"/>
          <w:szCs w:val="21"/>
          <w:shd w:val="clear" w:color="auto" w:fill="FFFFFF"/>
        </w:rPr>
        <w:t>的情形</w:t>
      </w:r>
      <w:r w:rsidR="00EA4C2B" w:rsidRPr="00516705">
        <w:rPr>
          <w:rFonts w:asciiTheme="minorEastAsia" w:hAnsiTheme="minorEastAsia" w:cs="仿宋_GB2312" w:hint="eastAsia"/>
          <w:color w:val="333333"/>
          <w:spacing w:val="8"/>
          <w:sz w:val="21"/>
          <w:szCs w:val="21"/>
          <w:shd w:val="clear" w:color="auto" w:fill="FFFFFF"/>
        </w:rPr>
        <w:t>，</w:t>
      </w:r>
      <w:r w:rsidR="007F33AB">
        <w:rPr>
          <w:rFonts w:asciiTheme="minorEastAsia" w:hAnsiTheme="minorEastAsia" w:cs="仿宋_GB2312" w:hint="eastAsia"/>
          <w:color w:val="333333"/>
          <w:spacing w:val="8"/>
          <w:sz w:val="21"/>
          <w:szCs w:val="21"/>
          <w:shd w:val="clear" w:color="auto" w:fill="FFFFFF"/>
        </w:rPr>
        <w:t>而对</w:t>
      </w:r>
      <w:bookmarkStart w:id="0" w:name="_GoBack"/>
      <w:bookmarkEnd w:id="0"/>
      <w:r w:rsidR="00EA4C2B">
        <w:rPr>
          <w:rFonts w:asciiTheme="minorEastAsia" w:hAnsiTheme="minorEastAsia" w:cs="仿宋_GB2312" w:hint="eastAsia"/>
          <w:color w:val="333333"/>
          <w:spacing w:val="8"/>
          <w:sz w:val="21"/>
          <w:szCs w:val="21"/>
          <w:shd w:val="clear" w:color="auto" w:fill="FFFFFF"/>
        </w:rPr>
        <w:t>需要调查核实的内容不做任何调查核实而直接拿来使用，甚至直接发出检察建议或者不支持监督决定。</w:t>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hint="eastAsia"/>
          <w:color w:val="333333"/>
          <w:spacing w:val="8"/>
          <w:sz w:val="21"/>
          <w:szCs w:val="21"/>
          <w:shd w:val="clear" w:color="auto" w:fill="FFFFFF"/>
        </w:rPr>
        <w:t>（二）调查核实权的行使范围规定不明确。《执行监督规则》第七条规定了四种民事执行活动可能存在违法的情形：其一，损害国家利益和社会公共利益的；其二，对社会造成重大影响的；其三，执行人员有违法行为或者司法机关已立案的；其四，需继续跟进监督的。以上四种情形因检察机关依职权履行法律监督需要可以行使调查核实权。当事人、利害关系人、案外人对民事执行活动向检察机关申请检察监督，如法律规定可以提出而没有提出异议、复议或者提起诉讼的，检察机关不予受理；已经向法院提交了执行异议或者申请复议，又向检察机关提起检察监督的不予受理，但对法院提出的异议、复议程序监督的除外。</w:t>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hint="eastAsia"/>
          <w:color w:val="333333"/>
          <w:spacing w:val="8"/>
          <w:sz w:val="21"/>
          <w:szCs w:val="21"/>
          <w:shd w:val="clear" w:color="auto" w:fill="FFFFFF"/>
        </w:rPr>
        <w:t>在司法实践中涉及到较多的问题，检察机关对执行活动监督的重难点是执行乱和执行难的问题。检察机关对于执行人员的违法需要通过调查核实来了解案情，例如执行人员怠于执行、执行的标的涉及到国家利益或者社会公共利益、非法拘留被执行人、执行人员的贪污受贿等等。检察机关只有全面的介入执行监督中，运用好调查核实职能，才能有效地解决执行乱、执行难的问题，仅仅靠法院内部的监督，是远远达不到司法想要的效果。要从源头解决执行乱、执行难的恶疾，亟需建立以检察机关为主体的统一、权威、特立的执行监督体制。</w:t>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hint="eastAsia"/>
          <w:color w:val="333333"/>
          <w:spacing w:val="8"/>
          <w:sz w:val="21"/>
          <w:szCs w:val="21"/>
          <w:shd w:val="clear" w:color="auto" w:fill="FFFFFF"/>
        </w:rPr>
        <w:lastRenderedPageBreak/>
        <w:t>（三）调查核实的手段单一。目前，对调查核实权的规定散见于《民事诉讼法》、《人民检察院组织法》及相关司法解释，规定的比较原则笼统，刚性不足，手段单一。针对不同类别案件未对调查核实权运用的范围、启动方式和行使方式进行区分，现有法律规定的不够细致。实践中，在办理虚假诉讼案件过程中，就经常碰到涉案单位和当事人不配合调查取证的情况，给办案人员查清案件事实，厘清法律关系制造了很多困难。在办理涉及国有财产保护的案件过程中，如果不赋予检察机关进行及时扣押、划拨、冻结涉案单位或个人财产等强制性手段，会造成关键证据难以获取，国家利益难以得到保护的情况发生。</w:t>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hint="eastAsia"/>
          <w:color w:val="333333"/>
          <w:spacing w:val="8"/>
          <w:sz w:val="21"/>
          <w:szCs w:val="21"/>
          <w:shd w:val="clear" w:color="auto" w:fill="FFFFFF"/>
        </w:rPr>
        <w:t>（四）调查核实权取得的证据属性和效力不统一。检察机关行使调查核实权是基于抗诉或提出检察建议的需要，其收集的证据应赋予证据效力。实践与理论上形成了二种观点，一种是无需质证直接具有证据效力；另一种是需要经过庭审的质证才具有证据效力。笔者认为，证据的效力并不是当然存在的，而应该根据民事诉讼法中证据的相关规定进行质证。检察机关调查核实取得的证据能否作为定案证据仍需程序上加以规范。检察机关在民事诉讼中处于中立的地位，但证据效力上却要加以质证来规范其特殊性。而法院依职权取得证据时无需质证，却受检察机关监督，故法院和检察机关在证据效力方面起到了互相制约的作用。当检察机关取得的证据不符合“新的证据”的情形时，是否需要组织质证？如果不组织质证，可能会影响案情事实的再次查明或者对案件事实的重新认定，甚至动摇检察机关抗诉的根基。</w:t>
      </w:r>
      <w:r w:rsidR="00CD3554">
        <w:rPr>
          <w:rStyle w:val="a7"/>
          <w:rFonts w:asciiTheme="minorEastAsia" w:hAnsiTheme="minorEastAsia" w:cs="仿宋_GB2312"/>
          <w:color w:val="333333"/>
          <w:spacing w:val="8"/>
          <w:sz w:val="21"/>
          <w:szCs w:val="21"/>
          <w:shd w:val="clear" w:color="auto" w:fill="FFFFFF"/>
        </w:rPr>
        <w:footnoteReference w:id="6"/>
      </w:r>
    </w:p>
    <w:p w:rsidR="00687F30" w:rsidRPr="00EA4C2B" w:rsidRDefault="002939F9" w:rsidP="00EA4C2B">
      <w:pPr>
        <w:pStyle w:val="a6"/>
        <w:widowControl/>
        <w:snapToGrid w:val="0"/>
        <w:spacing w:beforeAutospacing="0" w:afterAutospacing="0"/>
        <w:ind w:firstLineChars="200" w:firstLine="592"/>
        <w:jc w:val="both"/>
        <w:rPr>
          <w:rFonts w:ascii="黑体" w:eastAsia="黑体" w:hAnsi="宋体" w:cs="黑体"/>
          <w:color w:val="333333"/>
          <w:spacing w:val="8"/>
          <w:sz w:val="28"/>
          <w:szCs w:val="32"/>
          <w:shd w:val="clear" w:color="auto" w:fill="FFFFFF"/>
        </w:rPr>
      </w:pPr>
      <w:r w:rsidRPr="00EA4C2B">
        <w:rPr>
          <w:rFonts w:ascii="黑体" w:eastAsia="黑体" w:hAnsi="宋体" w:cs="黑体" w:hint="eastAsia"/>
          <w:color w:val="333333"/>
          <w:spacing w:val="8"/>
          <w:sz w:val="28"/>
          <w:szCs w:val="32"/>
          <w:shd w:val="clear" w:color="auto" w:fill="FFFFFF"/>
        </w:rPr>
        <w:t>五、完善民事执行监督中调查核实权运用的建议</w:t>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hint="eastAsia"/>
          <w:color w:val="333333"/>
          <w:spacing w:val="8"/>
          <w:sz w:val="21"/>
          <w:szCs w:val="21"/>
          <w:shd w:val="clear" w:color="auto" w:fill="FFFFFF"/>
        </w:rPr>
        <w:t>（一）适应新需求，树立正确的调查核实观</w:t>
      </w:r>
    </w:p>
    <w:p w:rsidR="00687F30" w:rsidRPr="00516705" w:rsidRDefault="00D937BE"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Pr>
          <w:rFonts w:asciiTheme="minorEastAsia" w:hAnsiTheme="minorEastAsia" w:cs="仿宋_GB2312" w:hint="eastAsia"/>
          <w:color w:val="333333"/>
          <w:spacing w:val="8"/>
          <w:sz w:val="21"/>
          <w:szCs w:val="21"/>
          <w:shd w:val="clear" w:color="auto" w:fill="FFFFFF"/>
        </w:rPr>
        <w:t>法律</w:t>
      </w:r>
      <w:r w:rsidR="00862A3C">
        <w:rPr>
          <w:rFonts w:asciiTheme="minorEastAsia" w:hAnsiTheme="minorEastAsia" w:cs="仿宋_GB2312" w:hint="eastAsia"/>
          <w:color w:val="333333"/>
          <w:spacing w:val="8"/>
          <w:sz w:val="21"/>
          <w:szCs w:val="21"/>
          <w:shd w:val="clear" w:color="auto" w:fill="FFFFFF"/>
        </w:rPr>
        <w:t>赋予检察机关调查核实权就是为了更好地履行法律监督的职能，</w:t>
      </w:r>
      <w:r w:rsidR="002939F9" w:rsidRPr="00516705">
        <w:rPr>
          <w:rFonts w:asciiTheme="minorEastAsia" w:hAnsiTheme="minorEastAsia" w:cs="仿宋_GB2312"/>
          <w:color w:val="333333"/>
          <w:spacing w:val="8"/>
          <w:sz w:val="21"/>
          <w:szCs w:val="21"/>
          <w:shd w:val="clear" w:color="auto" w:fill="FFFFFF"/>
        </w:rPr>
        <w:t>做好民事诉讼监督工作，首先涉及的问题即是发现问题，进而了解情况，进行核实。民事检察人员要树立正确的监督观、调查观，</w:t>
      </w:r>
      <w:r w:rsidR="002939F9" w:rsidRPr="00516705">
        <w:rPr>
          <w:rFonts w:asciiTheme="minorEastAsia" w:hAnsiTheme="minorEastAsia" w:cs="仿宋_GB2312" w:hint="eastAsia"/>
          <w:color w:val="333333"/>
          <w:spacing w:val="8"/>
          <w:sz w:val="21"/>
          <w:szCs w:val="21"/>
          <w:shd w:val="clear" w:color="auto" w:fill="FFFFFF"/>
        </w:rPr>
        <w:t>敢于监督、</w:t>
      </w:r>
      <w:r w:rsidR="002939F9" w:rsidRPr="00516705">
        <w:rPr>
          <w:rFonts w:asciiTheme="minorEastAsia" w:hAnsiTheme="minorEastAsia" w:cs="仿宋_GB2312"/>
          <w:color w:val="333333"/>
          <w:spacing w:val="8"/>
          <w:sz w:val="21"/>
          <w:szCs w:val="21"/>
          <w:shd w:val="clear" w:color="auto" w:fill="FFFFFF"/>
        </w:rPr>
        <w:t>调查</w:t>
      </w:r>
      <w:r w:rsidR="002939F9" w:rsidRPr="00516705">
        <w:rPr>
          <w:rFonts w:asciiTheme="minorEastAsia" w:hAnsiTheme="minorEastAsia" w:cs="仿宋_GB2312" w:hint="eastAsia"/>
          <w:color w:val="333333"/>
          <w:spacing w:val="8"/>
          <w:sz w:val="21"/>
          <w:szCs w:val="21"/>
          <w:shd w:val="clear" w:color="auto" w:fill="FFFFFF"/>
        </w:rPr>
        <w:t>、核实</w:t>
      </w:r>
      <w:r w:rsidR="002939F9" w:rsidRPr="00516705">
        <w:rPr>
          <w:rFonts w:asciiTheme="minorEastAsia" w:hAnsiTheme="minorEastAsia" w:cs="仿宋_GB2312"/>
          <w:color w:val="333333"/>
          <w:spacing w:val="8"/>
          <w:sz w:val="21"/>
          <w:szCs w:val="21"/>
          <w:shd w:val="clear" w:color="auto" w:fill="FFFFFF"/>
        </w:rPr>
        <w:t>。</w:t>
      </w:r>
      <w:r w:rsidR="002939F9" w:rsidRPr="00516705">
        <w:rPr>
          <w:rFonts w:asciiTheme="minorEastAsia" w:hAnsiTheme="minorEastAsia" w:cs="仿宋_GB2312" w:hint="eastAsia"/>
          <w:color w:val="333333"/>
          <w:spacing w:val="8"/>
          <w:sz w:val="21"/>
          <w:szCs w:val="21"/>
          <w:shd w:val="clear" w:color="auto" w:fill="FFFFFF"/>
        </w:rPr>
        <w:t>充分</w:t>
      </w:r>
      <w:r w:rsidR="002939F9" w:rsidRPr="00516705">
        <w:rPr>
          <w:rFonts w:asciiTheme="minorEastAsia" w:hAnsiTheme="minorEastAsia" w:cs="仿宋_GB2312"/>
          <w:color w:val="333333"/>
          <w:spacing w:val="8"/>
          <w:sz w:val="21"/>
          <w:szCs w:val="21"/>
          <w:shd w:val="clear" w:color="auto" w:fill="FFFFFF"/>
        </w:rPr>
        <w:t>发挥民事检察监督能动性</w:t>
      </w:r>
      <w:r w:rsidR="002939F9" w:rsidRPr="00516705">
        <w:rPr>
          <w:rFonts w:asciiTheme="minorEastAsia" w:hAnsiTheme="minorEastAsia" w:cs="仿宋_GB2312" w:hint="eastAsia"/>
          <w:color w:val="333333"/>
          <w:spacing w:val="8"/>
          <w:sz w:val="21"/>
          <w:szCs w:val="21"/>
          <w:shd w:val="clear" w:color="auto" w:fill="FFFFFF"/>
        </w:rPr>
        <w:t>、</w:t>
      </w:r>
      <w:r w:rsidR="002939F9" w:rsidRPr="00516705">
        <w:rPr>
          <w:rFonts w:asciiTheme="minorEastAsia" w:hAnsiTheme="minorEastAsia" w:cs="仿宋_GB2312"/>
          <w:color w:val="333333"/>
          <w:spacing w:val="8"/>
          <w:sz w:val="21"/>
          <w:szCs w:val="21"/>
          <w:shd w:val="clear" w:color="auto" w:fill="FFFFFF"/>
        </w:rPr>
        <w:t>利用法律赋予检察机关的调查权</w:t>
      </w:r>
      <w:r w:rsidR="002939F9" w:rsidRPr="00516705">
        <w:rPr>
          <w:rFonts w:asciiTheme="minorEastAsia" w:hAnsiTheme="minorEastAsia" w:cs="仿宋_GB2312" w:hint="eastAsia"/>
          <w:color w:val="333333"/>
          <w:spacing w:val="8"/>
          <w:sz w:val="21"/>
          <w:szCs w:val="21"/>
          <w:shd w:val="clear" w:color="auto" w:fill="FFFFFF"/>
        </w:rPr>
        <w:t>，</w:t>
      </w:r>
      <w:r w:rsidR="002939F9" w:rsidRPr="00516705">
        <w:rPr>
          <w:rFonts w:asciiTheme="minorEastAsia" w:hAnsiTheme="minorEastAsia" w:cs="仿宋_GB2312"/>
          <w:color w:val="333333"/>
          <w:spacing w:val="8"/>
          <w:sz w:val="21"/>
          <w:szCs w:val="21"/>
          <w:shd w:val="clear" w:color="auto" w:fill="FFFFFF"/>
        </w:rPr>
        <w:t>只要是为了法律监督目的，在法定的程序范围内主动出击，放弃畏难思想，及时针对民事</w:t>
      </w:r>
      <w:r w:rsidR="002939F9" w:rsidRPr="00516705">
        <w:rPr>
          <w:rFonts w:asciiTheme="minorEastAsia" w:hAnsiTheme="minorEastAsia" w:cs="仿宋_GB2312" w:hint="eastAsia"/>
          <w:color w:val="333333"/>
          <w:spacing w:val="8"/>
          <w:sz w:val="21"/>
          <w:szCs w:val="21"/>
          <w:shd w:val="clear" w:color="auto" w:fill="FFFFFF"/>
        </w:rPr>
        <w:t>执行</w:t>
      </w:r>
      <w:r w:rsidR="002939F9" w:rsidRPr="00516705">
        <w:rPr>
          <w:rFonts w:asciiTheme="minorEastAsia" w:hAnsiTheme="minorEastAsia" w:cs="仿宋_GB2312"/>
          <w:color w:val="333333"/>
          <w:spacing w:val="8"/>
          <w:sz w:val="21"/>
          <w:szCs w:val="21"/>
          <w:shd w:val="clear" w:color="auto" w:fill="FFFFFF"/>
        </w:rPr>
        <w:t>监督案件中需要调查核实的关键点进行调查，固定证据，为提出抗诉、发出</w:t>
      </w:r>
      <w:r w:rsidR="002939F9" w:rsidRPr="00516705">
        <w:rPr>
          <w:rFonts w:asciiTheme="minorEastAsia" w:hAnsiTheme="minorEastAsia" w:cs="仿宋_GB2312" w:hint="eastAsia"/>
          <w:color w:val="333333"/>
          <w:spacing w:val="8"/>
          <w:sz w:val="21"/>
          <w:szCs w:val="21"/>
          <w:shd w:val="clear" w:color="auto" w:fill="FFFFFF"/>
        </w:rPr>
        <w:t>检察建议、</w:t>
      </w:r>
      <w:r w:rsidR="002939F9" w:rsidRPr="00516705">
        <w:rPr>
          <w:rFonts w:asciiTheme="minorEastAsia" w:hAnsiTheme="minorEastAsia" w:cs="仿宋_GB2312"/>
          <w:color w:val="333333"/>
          <w:spacing w:val="8"/>
          <w:sz w:val="21"/>
          <w:szCs w:val="21"/>
          <w:shd w:val="clear" w:color="auto" w:fill="FFFFFF"/>
        </w:rPr>
        <w:t>做好申请人息诉工作打下坚实的事实和证据基础</w:t>
      </w:r>
      <w:r w:rsidR="002939F9" w:rsidRPr="00516705">
        <w:rPr>
          <w:rFonts w:asciiTheme="minorEastAsia" w:hAnsiTheme="minorEastAsia" w:cs="仿宋_GB2312" w:hint="eastAsia"/>
          <w:color w:val="333333"/>
          <w:spacing w:val="8"/>
          <w:sz w:val="21"/>
          <w:szCs w:val="21"/>
          <w:shd w:val="clear" w:color="auto" w:fill="FFFFFF"/>
        </w:rPr>
        <w:t>。</w:t>
      </w:r>
      <w:r w:rsidR="00CD3554">
        <w:rPr>
          <w:rStyle w:val="a7"/>
          <w:rFonts w:asciiTheme="minorEastAsia" w:hAnsiTheme="minorEastAsia" w:cs="仿宋_GB2312"/>
          <w:color w:val="333333"/>
          <w:spacing w:val="8"/>
          <w:sz w:val="21"/>
          <w:szCs w:val="21"/>
          <w:shd w:val="clear" w:color="auto" w:fill="FFFFFF"/>
        </w:rPr>
        <w:footnoteReference w:id="7"/>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hint="eastAsia"/>
          <w:color w:val="333333"/>
          <w:spacing w:val="8"/>
          <w:sz w:val="21"/>
          <w:szCs w:val="21"/>
          <w:shd w:val="clear" w:color="auto" w:fill="FFFFFF"/>
        </w:rPr>
        <w:t>另外，还</w:t>
      </w:r>
      <w:r w:rsidRPr="00516705">
        <w:rPr>
          <w:rFonts w:asciiTheme="minorEastAsia" w:hAnsiTheme="minorEastAsia" w:cs="仿宋_GB2312"/>
          <w:color w:val="333333"/>
          <w:spacing w:val="8"/>
          <w:sz w:val="21"/>
          <w:szCs w:val="21"/>
          <w:shd w:val="clear" w:color="auto" w:fill="FFFFFF"/>
        </w:rPr>
        <w:t>要加强业务培训，提升办案人员的调查取证能力，特别是要根据本地实际情况，总结出急需重点监督的案件类别，就怎样制定调查方案、规范调查活动、做好调查笔录等作出详细规范，有针对性的进行调查取证能力的培训。例如，针对民事虚假诉讼、审判人员可能存在违法行为和民事执行活动可能存在违法情形的领域进行调查取证能力的专项培训，补齐短板，及时解决办案人员对相关案件把握不准、不敢监督、不善监督的问题。要加强调查核实权研究，强化调查核实权运行保障。</w:t>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hint="eastAsia"/>
          <w:color w:val="333333"/>
          <w:spacing w:val="8"/>
          <w:sz w:val="21"/>
          <w:szCs w:val="21"/>
          <w:shd w:val="clear" w:color="auto" w:fill="FFFFFF"/>
        </w:rPr>
        <w:t>（二）规范</w:t>
      </w:r>
      <w:r w:rsidRPr="00516705">
        <w:rPr>
          <w:rFonts w:asciiTheme="minorEastAsia" w:hAnsiTheme="minorEastAsia" w:cs="仿宋_GB2312"/>
          <w:color w:val="333333"/>
          <w:spacing w:val="8"/>
          <w:sz w:val="21"/>
          <w:szCs w:val="21"/>
          <w:shd w:val="clear" w:color="auto" w:fill="FFFFFF"/>
        </w:rPr>
        <w:t>调查</w:t>
      </w:r>
      <w:r w:rsidRPr="00516705">
        <w:rPr>
          <w:rFonts w:asciiTheme="minorEastAsia" w:hAnsiTheme="minorEastAsia" w:cs="仿宋_GB2312" w:hint="eastAsia"/>
          <w:color w:val="333333"/>
          <w:spacing w:val="8"/>
          <w:sz w:val="21"/>
          <w:szCs w:val="21"/>
          <w:shd w:val="clear" w:color="auto" w:fill="FFFFFF"/>
        </w:rPr>
        <w:t>核实</w:t>
      </w:r>
      <w:r w:rsidRPr="00516705">
        <w:rPr>
          <w:rFonts w:asciiTheme="minorEastAsia" w:hAnsiTheme="minorEastAsia" w:cs="仿宋_GB2312"/>
          <w:color w:val="333333"/>
          <w:spacing w:val="8"/>
          <w:sz w:val="21"/>
          <w:szCs w:val="21"/>
          <w:shd w:val="clear" w:color="auto" w:fill="FFFFFF"/>
        </w:rPr>
        <w:t>权的范围和</w:t>
      </w:r>
      <w:r w:rsidRPr="00516705">
        <w:rPr>
          <w:rFonts w:asciiTheme="minorEastAsia" w:hAnsiTheme="minorEastAsia" w:cs="仿宋_GB2312" w:hint="eastAsia"/>
          <w:color w:val="333333"/>
          <w:spacing w:val="8"/>
          <w:sz w:val="21"/>
          <w:szCs w:val="21"/>
          <w:shd w:val="clear" w:color="auto" w:fill="FFFFFF"/>
        </w:rPr>
        <w:t>手段</w:t>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color w:val="333333"/>
          <w:spacing w:val="8"/>
          <w:sz w:val="21"/>
          <w:szCs w:val="21"/>
          <w:shd w:val="clear" w:color="auto" w:fill="FFFFFF"/>
        </w:rPr>
        <w:t>一是</w:t>
      </w:r>
      <w:r w:rsidRPr="00516705">
        <w:rPr>
          <w:rFonts w:asciiTheme="minorEastAsia" w:hAnsiTheme="minorEastAsia" w:cs="仿宋_GB2312" w:hint="eastAsia"/>
          <w:color w:val="333333"/>
          <w:spacing w:val="8"/>
          <w:sz w:val="21"/>
          <w:szCs w:val="21"/>
          <w:shd w:val="clear" w:color="auto" w:fill="FFFFFF"/>
        </w:rPr>
        <w:t>明确</w:t>
      </w:r>
      <w:r w:rsidRPr="00516705">
        <w:rPr>
          <w:rFonts w:asciiTheme="minorEastAsia" w:hAnsiTheme="minorEastAsia" w:cs="仿宋_GB2312"/>
          <w:color w:val="333333"/>
          <w:spacing w:val="8"/>
          <w:sz w:val="21"/>
          <w:szCs w:val="21"/>
          <w:shd w:val="clear" w:color="auto" w:fill="FFFFFF"/>
        </w:rPr>
        <w:t>民事执行监督调查核实权的范围。在民事执行监督过程中，调查核实权的运用要围绕法律监督职能展开，以查明执行行为的合法性为核心，主要是对法院执行活动的合法性、及时性以及作为与否的调查核实，特别要查明认定执行依据是否系伪造，即认定事实的主要证据是否存在重大瑕疵，包括证据形成来源不合法、证据本身系伪造、变造等；此外，还要对被执行人、其他当事人行为及财产等情况进行调查核实，查明相关当事人财产真实权属情况。</w:t>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color w:val="333333"/>
          <w:spacing w:val="8"/>
          <w:sz w:val="21"/>
          <w:szCs w:val="21"/>
          <w:shd w:val="clear" w:color="auto" w:fill="FFFFFF"/>
        </w:rPr>
        <w:t>二是</w:t>
      </w:r>
      <w:r w:rsidRPr="00516705">
        <w:rPr>
          <w:rFonts w:asciiTheme="minorEastAsia" w:hAnsiTheme="minorEastAsia" w:cs="仿宋_GB2312" w:hint="eastAsia"/>
          <w:color w:val="333333"/>
          <w:spacing w:val="8"/>
          <w:sz w:val="21"/>
          <w:szCs w:val="21"/>
          <w:shd w:val="clear" w:color="auto" w:fill="FFFFFF"/>
        </w:rPr>
        <w:t>规范</w:t>
      </w:r>
      <w:r w:rsidRPr="00516705">
        <w:rPr>
          <w:rFonts w:asciiTheme="minorEastAsia" w:hAnsiTheme="minorEastAsia" w:cs="仿宋_GB2312"/>
          <w:color w:val="333333"/>
          <w:spacing w:val="8"/>
          <w:sz w:val="21"/>
          <w:szCs w:val="21"/>
          <w:shd w:val="clear" w:color="auto" w:fill="FFFFFF"/>
        </w:rPr>
        <w:t>民事执行监督调查核实权的手段。调查核实权而非侦查权，在实践中主要包括：向有关部门查询、调取、复制相关证据材料、询问当事人及案外人、咨询专业人员、相关部门、行业协会等对专门问题的意见、委托鉴定、评估审计等不限制人身自由、财产权利的调查措施。不得使用查封、扣押、冻结等限制财产权利的强制性措施，不得对当事人及案外人采取拘留等限制人身自由的强制性措施。</w:t>
      </w:r>
      <w:r w:rsidR="00CD3554">
        <w:rPr>
          <w:rStyle w:val="a7"/>
          <w:rFonts w:asciiTheme="minorEastAsia" w:hAnsiTheme="minorEastAsia" w:cs="仿宋_GB2312"/>
          <w:color w:val="333333"/>
          <w:spacing w:val="8"/>
          <w:sz w:val="21"/>
          <w:szCs w:val="21"/>
          <w:shd w:val="clear" w:color="auto" w:fill="FFFFFF"/>
        </w:rPr>
        <w:footnoteReference w:id="8"/>
      </w:r>
    </w:p>
    <w:p w:rsidR="00687F30" w:rsidRPr="00516705" w:rsidRDefault="002939F9" w:rsidP="00EA4C2B">
      <w:pPr>
        <w:pStyle w:val="a6"/>
        <w:widowControl/>
        <w:snapToGrid w:val="0"/>
        <w:spacing w:beforeAutospacing="0" w:afterAutospacing="0"/>
        <w:ind w:firstLineChars="200" w:firstLine="452"/>
        <w:jc w:val="both"/>
        <w:rPr>
          <w:rFonts w:asciiTheme="minorEastAsia" w:hAnsiTheme="minorEastAsia" w:cs="仿宋_GB2312"/>
          <w:color w:val="333333"/>
          <w:spacing w:val="8"/>
          <w:sz w:val="21"/>
          <w:szCs w:val="21"/>
          <w:shd w:val="clear" w:color="auto" w:fill="FFFFFF"/>
        </w:rPr>
      </w:pPr>
      <w:r w:rsidRPr="00516705">
        <w:rPr>
          <w:rFonts w:asciiTheme="minorEastAsia" w:hAnsiTheme="minorEastAsia" w:cs="仿宋_GB2312" w:hint="eastAsia"/>
          <w:color w:val="333333"/>
          <w:spacing w:val="8"/>
          <w:sz w:val="21"/>
          <w:szCs w:val="21"/>
          <w:shd w:val="clear" w:color="auto" w:fill="FFFFFF"/>
        </w:rPr>
        <w:t>（三）明确调查所得证据的属性</w:t>
      </w:r>
    </w:p>
    <w:p w:rsidR="00687F30" w:rsidRPr="00516705" w:rsidRDefault="002939F9" w:rsidP="00EA4C2B">
      <w:pPr>
        <w:spacing w:line="240" w:lineRule="auto"/>
        <w:ind w:firstLine="452"/>
        <w:rPr>
          <w:rFonts w:asciiTheme="minorEastAsia" w:eastAsiaTheme="minorEastAsia" w:hAnsiTheme="minorEastAsia" w:cs="仿宋_GB2312"/>
          <w:color w:val="333333"/>
          <w:spacing w:val="8"/>
          <w:kern w:val="0"/>
          <w:sz w:val="21"/>
          <w:szCs w:val="21"/>
          <w:shd w:val="clear" w:color="auto" w:fill="FFFFFF"/>
        </w:rPr>
      </w:pPr>
      <w:r w:rsidRPr="00516705">
        <w:rPr>
          <w:rFonts w:asciiTheme="minorEastAsia" w:eastAsiaTheme="minorEastAsia" w:hAnsiTheme="minorEastAsia" w:cs="仿宋_GB2312" w:hint="eastAsia"/>
          <w:color w:val="333333"/>
          <w:spacing w:val="8"/>
          <w:kern w:val="0"/>
          <w:sz w:val="21"/>
          <w:szCs w:val="21"/>
          <w:shd w:val="clear" w:color="auto" w:fill="FFFFFF"/>
        </w:rPr>
        <w:t>在民事检察中，检察机关代表国家行使法律监督权，保持客观、中立、公正的立场，其调查取证只能是为了查明所办案件的真相；在调查中不代表任何一方当事人，也不是为了某一方的民事利益。检察机关因法律监督工作需要而收集、使用证据，与检察机关履行的法律</w:t>
      </w:r>
      <w:r w:rsidRPr="00516705">
        <w:rPr>
          <w:rFonts w:asciiTheme="minorEastAsia" w:eastAsiaTheme="minorEastAsia" w:hAnsiTheme="minorEastAsia" w:cs="仿宋_GB2312" w:hint="eastAsia"/>
          <w:color w:val="333333"/>
          <w:spacing w:val="8"/>
          <w:kern w:val="0"/>
          <w:sz w:val="21"/>
          <w:szCs w:val="21"/>
          <w:shd w:val="clear" w:color="auto" w:fill="FFFFFF"/>
        </w:rPr>
        <w:lastRenderedPageBreak/>
        <w:t>监督职责直接相关，因而，此类证据带有明显的监督属性，可以称为监督证据。检察机关运用监督证据，主要是据以判断是否需要作出以及如何作出相应的监督决定。</w:t>
      </w:r>
      <w:r w:rsidR="00CD3554">
        <w:rPr>
          <w:rStyle w:val="a7"/>
          <w:rFonts w:asciiTheme="minorEastAsia" w:eastAsiaTheme="minorEastAsia" w:hAnsiTheme="minorEastAsia" w:cs="仿宋_GB2312"/>
          <w:color w:val="333333"/>
          <w:spacing w:val="8"/>
          <w:kern w:val="0"/>
          <w:sz w:val="21"/>
          <w:szCs w:val="21"/>
          <w:shd w:val="clear" w:color="auto" w:fill="FFFFFF"/>
        </w:rPr>
        <w:footnoteReference w:id="9"/>
      </w:r>
    </w:p>
    <w:p w:rsidR="00687F30" w:rsidRPr="00516705" w:rsidRDefault="002939F9" w:rsidP="00EA4C2B">
      <w:pPr>
        <w:spacing w:line="240" w:lineRule="auto"/>
        <w:ind w:firstLine="452"/>
        <w:rPr>
          <w:rFonts w:asciiTheme="minorEastAsia" w:eastAsiaTheme="minorEastAsia" w:hAnsiTheme="minorEastAsia" w:cs="仿宋_GB2312"/>
          <w:color w:val="333333"/>
          <w:spacing w:val="8"/>
          <w:kern w:val="0"/>
          <w:sz w:val="21"/>
          <w:szCs w:val="21"/>
          <w:shd w:val="clear" w:color="auto" w:fill="FFFFFF"/>
        </w:rPr>
      </w:pPr>
      <w:r w:rsidRPr="00516705">
        <w:rPr>
          <w:rFonts w:asciiTheme="minorEastAsia" w:eastAsiaTheme="minorEastAsia" w:hAnsiTheme="minorEastAsia" w:cs="仿宋_GB2312" w:hint="eastAsia"/>
          <w:color w:val="333333"/>
          <w:spacing w:val="8"/>
          <w:kern w:val="0"/>
          <w:sz w:val="21"/>
          <w:szCs w:val="21"/>
          <w:shd w:val="clear" w:color="auto" w:fill="FFFFFF"/>
        </w:rPr>
        <w:t>民事执行监督调查核实权是一种公权力，其调查的结果是为检察机关依法提出抗诉或检察建议提供依据。在实践中，为维护法院执行活动的司法公信力，笔者认为在民事执行监督过程中，经过检察机关调查核实后，认定执行活动确系违法的，宜先向执行法院提出检察建议，由法院根据检察建议自行依法纠正；如果执行法院对检察建议不予接受，则依法提请上一级检察机关提出抗诉，促使法院启动内部监督程序。  </w:t>
      </w:r>
    </w:p>
    <w:p w:rsidR="00687F30" w:rsidRDefault="00687F30" w:rsidP="00EA4C2B">
      <w:pPr>
        <w:spacing w:line="240" w:lineRule="auto"/>
        <w:ind w:firstLine="652"/>
        <w:rPr>
          <w:rFonts w:ascii="仿宋_GB2312" w:eastAsia="仿宋_GB2312" w:hAnsi="微软雅黑" w:cs="仿宋_GB2312"/>
          <w:color w:val="333333"/>
          <w:spacing w:val="8"/>
          <w:kern w:val="0"/>
          <w:sz w:val="31"/>
          <w:szCs w:val="31"/>
          <w:shd w:val="clear" w:color="auto" w:fill="FFFFFF"/>
        </w:rPr>
      </w:pPr>
    </w:p>
    <w:p w:rsidR="00687F30" w:rsidRPr="00CD3554" w:rsidRDefault="00687F30" w:rsidP="00CD3554">
      <w:pPr>
        <w:spacing w:line="240" w:lineRule="auto"/>
        <w:ind w:firstLine="592"/>
        <w:rPr>
          <w:rFonts w:ascii="仿宋_GB2312" w:eastAsia="仿宋_GB2312" w:hAnsi="微软雅黑" w:cs="仿宋_GB2312"/>
          <w:color w:val="333333"/>
          <w:spacing w:val="8"/>
          <w:kern w:val="0"/>
          <w:sz w:val="28"/>
          <w:szCs w:val="28"/>
          <w:shd w:val="clear" w:color="auto" w:fill="FFFFFF"/>
        </w:rPr>
      </w:pPr>
    </w:p>
    <w:sectPr w:rsidR="00687F30" w:rsidRPr="00CD3554" w:rsidSect="0051670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6D6" w:rsidRDefault="009F46D6">
      <w:pPr>
        <w:spacing w:line="240" w:lineRule="auto"/>
      </w:pPr>
      <w:r>
        <w:separator/>
      </w:r>
    </w:p>
  </w:endnote>
  <w:endnote w:type="continuationSeparator" w:id="1">
    <w:p w:rsidR="009F46D6" w:rsidRDefault="009F46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FE" w:rsidRDefault="00D300FE" w:rsidP="00D300FE">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30" w:rsidRDefault="005F0C95" w:rsidP="00BB7A5F">
    <w:pPr>
      <w:pStyle w:val="a3"/>
      <w:ind w:firstLine="360"/>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87F30" w:rsidRDefault="005F0C95" w:rsidP="00BB7A5F">
                <w:pPr>
                  <w:pStyle w:val="a3"/>
                  <w:ind w:firstLine="360"/>
                </w:pPr>
                <w:r>
                  <w:rPr>
                    <w:rFonts w:hint="eastAsia"/>
                  </w:rPr>
                  <w:fldChar w:fldCharType="begin"/>
                </w:r>
                <w:r w:rsidR="002939F9">
                  <w:rPr>
                    <w:rFonts w:hint="eastAsia"/>
                  </w:rPr>
                  <w:instrText xml:space="preserve"> PAGE  \* MERGEFORMAT </w:instrText>
                </w:r>
                <w:r>
                  <w:rPr>
                    <w:rFonts w:hint="eastAsia"/>
                  </w:rPr>
                  <w:fldChar w:fldCharType="separate"/>
                </w:r>
                <w:r w:rsidR="00471771">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FE" w:rsidRDefault="00D300FE" w:rsidP="00D300FE">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6D6" w:rsidRDefault="009F46D6">
      <w:pPr>
        <w:spacing w:line="240" w:lineRule="auto"/>
      </w:pPr>
      <w:r>
        <w:separator/>
      </w:r>
    </w:p>
  </w:footnote>
  <w:footnote w:type="continuationSeparator" w:id="1">
    <w:p w:rsidR="009F46D6" w:rsidRDefault="009F46D6">
      <w:pPr>
        <w:spacing w:line="240" w:lineRule="auto"/>
      </w:pPr>
      <w:r>
        <w:continuationSeparator/>
      </w:r>
    </w:p>
  </w:footnote>
  <w:footnote w:id="2">
    <w:p w:rsidR="00CD3554" w:rsidRPr="00CD3554" w:rsidRDefault="00CD3554">
      <w:pPr>
        <w:pStyle w:val="a5"/>
        <w:rPr>
          <w:rFonts w:asciiTheme="minorEastAsia" w:eastAsiaTheme="minorEastAsia" w:hAnsiTheme="minorEastAsia"/>
          <w:szCs w:val="18"/>
        </w:rPr>
      </w:pPr>
      <w:r w:rsidRPr="00CD3554">
        <w:rPr>
          <w:rStyle w:val="a7"/>
          <w:rFonts w:asciiTheme="minorEastAsia" w:eastAsiaTheme="minorEastAsia" w:hAnsiTheme="minorEastAsia"/>
          <w:sz w:val="20"/>
        </w:rPr>
        <w:footnoteRef/>
      </w:r>
      <w:r w:rsidRPr="00CD3554">
        <w:rPr>
          <w:rFonts w:asciiTheme="minorEastAsia" w:eastAsiaTheme="minorEastAsia" w:hAnsiTheme="minorEastAsia" w:cs="仿宋_GB2312" w:hint="eastAsia"/>
          <w:color w:val="333333"/>
          <w:spacing w:val="8"/>
          <w:kern w:val="0"/>
          <w:szCs w:val="18"/>
          <w:shd w:val="clear" w:color="auto" w:fill="FFFFFF"/>
        </w:rPr>
        <w:t>丛鸿全. 论民事检察监督调查核实权[D].江西财经大学,2019.</w:t>
      </w:r>
    </w:p>
  </w:footnote>
  <w:footnote w:id="3">
    <w:p w:rsidR="00CD3554" w:rsidRDefault="00CD3554">
      <w:pPr>
        <w:pStyle w:val="a5"/>
      </w:pPr>
      <w:r w:rsidRPr="00CD3554">
        <w:rPr>
          <w:rStyle w:val="a7"/>
          <w:rFonts w:asciiTheme="minorEastAsia" w:eastAsiaTheme="minorEastAsia" w:hAnsiTheme="minorEastAsia"/>
          <w:sz w:val="20"/>
        </w:rPr>
        <w:footnoteRef/>
      </w:r>
      <w:r w:rsidRPr="00CD3554">
        <w:rPr>
          <w:rFonts w:asciiTheme="minorEastAsia" w:eastAsiaTheme="minorEastAsia" w:hAnsiTheme="minorEastAsia" w:cs="仿宋_GB2312" w:hint="eastAsia"/>
          <w:color w:val="333333"/>
          <w:spacing w:val="8"/>
          <w:kern w:val="0"/>
          <w:szCs w:val="18"/>
          <w:shd w:val="clear" w:color="auto" w:fill="FFFFFF"/>
        </w:rPr>
        <w:t>张军. 检察机关民事调查核实权研究[D].新疆大学,2019.</w:t>
      </w:r>
    </w:p>
  </w:footnote>
  <w:footnote w:id="4">
    <w:p w:rsidR="00CD3554" w:rsidRDefault="00CD3554">
      <w:pPr>
        <w:pStyle w:val="a5"/>
      </w:pPr>
      <w:r>
        <w:rPr>
          <w:rStyle w:val="a7"/>
        </w:rPr>
        <w:footnoteRef/>
      </w:r>
      <w:r w:rsidRPr="00CD3554">
        <w:rPr>
          <w:rFonts w:asciiTheme="minorEastAsia" w:eastAsiaTheme="minorEastAsia" w:hAnsiTheme="minorEastAsia" w:cs="仿宋_GB2312" w:hint="eastAsia"/>
          <w:color w:val="333333"/>
          <w:spacing w:val="8"/>
          <w:kern w:val="0"/>
          <w:szCs w:val="18"/>
          <w:shd w:val="clear" w:color="auto" w:fill="FFFFFF"/>
        </w:rPr>
        <w:t>李强. 民事诉讼中检察机关调查核实权研究[D].南京师范大学,2016.</w:t>
      </w:r>
    </w:p>
  </w:footnote>
  <w:footnote w:id="5">
    <w:p w:rsidR="00CD3554" w:rsidRPr="00CD3554" w:rsidRDefault="00CD3554">
      <w:pPr>
        <w:pStyle w:val="a5"/>
      </w:pPr>
      <w:r>
        <w:rPr>
          <w:rStyle w:val="a7"/>
        </w:rPr>
        <w:footnoteRef/>
      </w:r>
      <w:r w:rsidRPr="00CD3554">
        <w:rPr>
          <w:rFonts w:asciiTheme="minorEastAsia" w:eastAsiaTheme="minorEastAsia" w:hAnsiTheme="minorEastAsia" w:cs="仿宋_GB2312" w:hint="eastAsia"/>
          <w:color w:val="333333"/>
          <w:spacing w:val="8"/>
          <w:kern w:val="0"/>
          <w:szCs w:val="18"/>
          <w:shd w:val="clear" w:color="auto" w:fill="FFFFFF"/>
        </w:rPr>
        <w:t>程辉.民事调查核实权运用问题探析[J].中国检察官,2019(23):48-50.</w:t>
      </w:r>
    </w:p>
  </w:footnote>
  <w:footnote w:id="6">
    <w:p w:rsidR="00CD3554" w:rsidRPr="00CD3554" w:rsidRDefault="00CD3554">
      <w:pPr>
        <w:pStyle w:val="a5"/>
      </w:pPr>
      <w:r>
        <w:rPr>
          <w:rStyle w:val="a7"/>
        </w:rPr>
        <w:footnoteRef/>
      </w:r>
      <w:r w:rsidRPr="00CD3554">
        <w:rPr>
          <w:rFonts w:asciiTheme="minorEastAsia" w:eastAsiaTheme="minorEastAsia" w:hAnsiTheme="minorEastAsia" w:cs="仿宋_GB2312" w:hint="eastAsia"/>
          <w:color w:val="333333"/>
          <w:spacing w:val="8"/>
          <w:kern w:val="0"/>
          <w:szCs w:val="18"/>
          <w:shd w:val="clear" w:color="auto" w:fill="FFFFFF"/>
        </w:rPr>
        <w:t>孙加瑞.民事检察中调查核实权的行使及证据运用[J].人民检察,2019(24):15-19.</w:t>
      </w:r>
    </w:p>
  </w:footnote>
  <w:footnote w:id="7">
    <w:p w:rsidR="00CD3554" w:rsidRPr="00CD3554" w:rsidRDefault="00CD3554">
      <w:pPr>
        <w:pStyle w:val="a5"/>
      </w:pPr>
      <w:r>
        <w:rPr>
          <w:rStyle w:val="a7"/>
        </w:rPr>
        <w:footnoteRef/>
      </w:r>
      <w:r w:rsidRPr="00CD3554">
        <w:rPr>
          <w:rFonts w:asciiTheme="minorEastAsia" w:eastAsiaTheme="minorEastAsia" w:hAnsiTheme="minorEastAsia" w:cs="仿宋_GB2312" w:hint="eastAsia"/>
          <w:color w:val="333333"/>
          <w:spacing w:val="8"/>
          <w:kern w:val="0"/>
          <w:szCs w:val="18"/>
          <w:shd w:val="clear" w:color="auto" w:fill="FFFFFF"/>
        </w:rPr>
        <w:t>巩富文,杨辉.民事检察中的调查核实权探析[J].人民检察,2014</w:t>
      </w:r>
    </w:p>
  </w:footnote>
  <w:footnote w:id="8">
    <w:p w:rsidR="00CD3554" w:rsidRPr="00CD3554" w:rsidRDefault="00CD3554">
      <w:pPr>
        <w:pStyle w:val="a5"/>
      </w:pPr>
      <w:r>
        <w:rPr>
          <w:rStyle w:val="a7"/>
        </w:rPr>
        <w:footnoteRef/>
      </w:r>
      <w:r w:rsidRPr="00CD3554">
        <w:rPr>
          <w:rFonts w:asciiTheme="minorEastAsia" w:eastAsiaTheme="minorEastAsia" w:hAnsiTheme="minorEastAsia" w:cs="仿宋_GB2312" w:hint="eastAsia"/>
          <w:color w:val="333333"/>
          <w:spacing w:val="8"/>
          <w:kern w:val="0"/>
          <w:szCs w:val="18"/>
          <w:shd w:val="clear" w:color="auto" w:fill="FFFFFF"/>
        </w:rPr>
        <w:t>王红梅. 民事执行监督调查核实权如何合理把握[N]. 江苏法制报,2014-07-11(006).</w:t>
      </w:r>
    </w:p>
  </w:footnote>
  <w:footnote w:id="9">
    <w:p w:rsidR="00CD3554" w:rsidRDefault="00CD3554">
      <w:pPr>
        <w:pStyle w:val="a5"/>
      </w:pPr>
      <w:r>
        <w:rPr>
          <w:rStyle w:val="a7"/>
        </w:rPr>
        <w:footnoteRef/>
      </w:r>
      <w:r w:rsidRPr="00CD3554">
        <w:rPr>
          <w:rFonts w:asciiTheme="minorEastAsia" w:eastAsiaTheme="minorEastAsia" w:hAnsiTheme="minorEastAsia" w:cs="仿宋_GB2312" w:hint="eastAsia"/>
          <w:color w:val="333333"/>
          <w:spacing w:val="8"/>
          <w:kern w:val="0"/>
          <w:szCs w:val="18"/>
          <w:shd w:val="clear" w:color="auto" w:fill="FFFFFF"/>
        </w:rPr>
        <w:t>孙加瑞.民事检察中调查核实权的行使及证据运用[J].人民检察,2019(24):15-19.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FE" w:rsidRDefault="00D300FE" w:rsidP="00D300FE">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FE" w:rsidRDefault="00D300FE" w:rsidP="00D300FE">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FE" w:rsidRDefault="00D300FE" w:rsidP="00D300FE">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24DEE5"/>
    <w:multiLevelType w:val="singleLevel"/>
    <w:tmpl w:val="F924DEE5"/>
    <w:lvl w:ilvl="0">
      <w:start w:val="2"/>
      <w:numFmt w:val="chineseCounting"/>
      <w:suff w:val="nothing"/>
      <w:lvlText w:val="%1、"/>
      <w:lvlJc w:val="left"/>
      <w:rPr>
        <w:rFonts w:hint="eastAsia"/>
      </w:rPr>
    </w:lvl>
  </w:abstractNum>
  <w:abstractNum w:abstractNumId="1">
    <w:nsid w:val="6062FAEC"/>
    <w:multiLevelType w:val="singleLevel"/>
    <w:tmpl w:val="6062FAEC"/>
    <w:lvl w:ilvl="0">
      <w:start w:val="1"/>
      <w:numFmt w:val="chineseCounting"/>
      <w:suff w:val="nothing"/>
      <w:lvlText w:val="%1、"/>
      <w:lvlJc w:val="left"/>
      <w:rPr>
        <w:rFonts w:hint="eastAsia"/>
      </w:rPr>
    </w:lvl>
  </w:abstractNum>
  <w:abstractNum w:abstractNumId="2">
    <w:nsid w:val="734AE2A9"/>
    <w:multiLevelType w:val="singleLevel"/>
    <w:tmpl w:val="734AE2A9"/>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F30"/>
    <w:rsid w:val="00004B3F"/>
    <w:rsid w:val="000267FC"/>
    <w:rsid w:val="000E22A5"/>
    <w:rsid w:val="000F57CD"/>
    <w:rsid w:val="002939F9"/>
    <w:rsid w:val="00455C1F"/>
    <w:rsid w:val="00471771"/>
    <w:rsid w:val="00514486"/>
    <w:rsid w:val="00516705"/>
    <w:rsid w:val="005F0C95"/>
    <w:rsid w:val="00687F30"/>
    <w:rsid w:val="007A693F"/>
    <w:rsid w:val="007F33AB"/>
    <w:rsid w:val="008479A0"/>
    <w:rsid w:val="00862A3C"/>
    <w:rsid w:val="009231BE"/>
    <w:rsid w:val="0092499E"/>
    <w:rsid w:val="009F46D6"/>
    <w:rsid w:val="00AE59E1"/>
    <w:rsid w:val="00B02A0B"/>
    <w:rsid w:val="00BA024E"/>
    <w:rsid w:val="00BB7A5F"/>
    <w:rsid w:val="00CD3554"/>
    <w:rsid w:val="00CE004A"/>
    <w:rsid w:val="00D300FE"/>
    <w:rsid w:val="00D937BE"/>
    <w:rsid w:val="00EA4C2B"/>
    <w:rsid w:val="00F03906"/>
    <w:rsid w:val="020A026E"/>
    <w:rsid w:val="040706AA"/>
    <w:rsid w:val="08F1276C"/>
    <w:rsid w:val="0AE60C67"/>
    <w:rsid w:val="0B4A134B"/>
    <w:rsid w:val="0B5B7321"/>
    <w:rsid w:val="0C6C19D3"/>
    <w:rsid w:val="0DFA283D"/>
    <w:rsid w:val="17714CBE"/>
    <w:rsid w:val="17E246C8"/>
    <w:rsid w:val="199F5DF3"/>
    <w:rsid w:val="1C6A5BC0"/>
    <w:rsid w:val="1E0B49F2"/>
    <w:rsid w:val="1EB119F2"/>
    <w:rsid w:val="27076365"/>
    <w:rsid w:val="2B4123A3"/>
    <w:rsid w:val="2DF11F50"/>
    <w:rsid w:val="34742223"/>
    <w:rsid w:val="3C70769B"/>
    <w:rsid w:val="43C5777E"/>
    <w:rsid w:val="47CE39AC"/>
    <w:rsid w:val="48B04E1B"/>
    <w:rsid w:val="4B972467"/>
    <w:rsid w:val="4E112B96"/>
    <w:rsid w:val="4F826742"/>
    <w:rsid w:val="568A4D90"/>
    <w:rsid w:val="59CC23F5"/>
    <w:rsid w:val="5AC33AF3"/>
    <w:rsid w:val="5BA25188"/>
    <w:rsid w:val="61D86950"/>
    <w:rsid w:val="66E10EBD"/>
    <w:rsid w:val="68CE6EEC"/>
    <w:rsid w:val="71A8694B"/>
    <w:rsid w:val="759E0C46"/>
    <w:rsid w:val="76C61C76"/>
    <w:rsid w:val="76D35098"/>
    <w:rsid w:val="77B91E9A"/>
    <w:rsid w:val="7839236E"/>
    <w:rsid w:val="7F064AA6"/>
    <w:rsid w:val="7FCA4C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004A"/>
    <w:pPr>
      <w:widowControl w:val="0"/>
      <w:spacing w:line="400" w:lineRule="exact"/>
      <w:ind w:firstLineChars="200" w:firstLine="480"/>
      <w:jc w:val="both"/>
    </w:pPr>
    <w:rPr>
      <w:rFonts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E004A"/>
    <w:pPr>
      <w:tabs>
        <w:tab w:val="center" w:pos="4153"/>
        <w:tab w:val="right" w:pos="8306"/>
      </w:tabs>
      <w:snapToGrid w:val="0"/>
      <w:jc w:val="left"/>
    </w:pPr>
    <w:rPr>
      <w:sz w:val="18"/>
    </w:rPr>
  </w:style>
  <w:style w:type="paragraph" w:styleId="a4">
    <w:name w:val="header"/>
    <w:basedOn w:val="a"/>
    <w:qFormat/>
    <w:rsid w:val="00CE004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footnote text"/>
    <w:basedOn w:val="a"/>
    <w:link w:val="Char"/>
    <w:rsid w:val="00CE004A"/>
    <w:pPr>
      <w:snapToGrid w:val="0"/>
      <w:spacing w:line="240" w:lineRule="auto"/>
      <w:ind w:firstLineChars="0" w:firstLine="0"/>
      <w:jc w:val="left"/>
    </w:pPr>
    <w:rPr>
      <w:sz w:val="18"/>
    </w:rPr>
  </w:style>
  <w:style w:type="paragraph" w:styleId="a6">
    <w:name w:val="Normal (Web)"/>
    <w:qFormat/>
    <w:rsid w:val="00CE004A"/>
    <w:pPr>
      <w:widowControl w:val="0"/>
      <w:spacing w:beforeAutospacing="1" w:afterAutospacing="1"/>
    </w:pPr>
    <w:rPr>
      <w:rFonts w:asciiTheme="minorHAnsi" w:eastAsiaTheme="minorEastAsia" w:hAnsiTheme="minorHAnsi"/>
      <w:sz w:val="24"/>
      <w:szCs w:val="24"/>
    </w:rPr>
  </w:style>
  <w:style w:type="character" w:customStyle="1" w:styleId="Char">
    <w:name w:val="脚注文本 Char"/>
    <w:link w:val="a5"/>
    <w:uiPriority w:val="99"/>
    <w:qFormat/>
    <w:rsid w:val="00CE004A"/>
    <w:rPr>
      <w:rFonts w:eastAsia="宋体"/>
      <w:kern w:val="2"/>
      <w:sz w:val="18"/>
      <w:szCs w:val="24"/>
    </w:rPr>
  </w:style>
  <w:style w:type="character" w:styleId="a7">
    <w:name w:val="footnote reference"/>
    <w:basedOn w:val="a0"/>
    <w:rsid w:val="00CD3554"/>
    <w:rPr>
      <w:vertAlign w:val="superscript"/>
    </w:rPr>
  </w:style>
  <w:style w:type="paragraph" w:styleId="a8">
    <w:name w:val="endnote text"/>
    <w:basedOn w:val="a"/>
    <w:link w:val="Char0"/>
    <w:rsid w:val="00AE59E1"/>
    <w:pPr>
      <w:snapToGrid w:val="0"/>
      <w:jc w:val="left"/>
    </w:pPr>
  </w:style>
  <w:style w:type="character" w:customStyle="1" w:styleId="Char0">
    <w:name w:val="尾注文本 Char"/>
    <w:basedOn w:val="a0"/>
    <w:link w:val="a8"/>
    <w:rsid w:val="00AE59E1"/>
    <w:rPr>
      <w:rFonts w:cstheme="minorBidi"/>
      <w:kern w:val="2"/>
      <w:sz w:val="24"/>
      <w:szCs w:val="24"/>
    </w:rPr>
  </w:style>
  <w:style w:type="character" w:styleId="a9">
    <w:name w:val="endnote reference"/>
    <w:basedOn w:val="a0"/>
    <w:rsid w:val="00AE59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400" w:lineRule="exact"/>
      <w:ind w:firstLineChars="200" w:firstLine="480"/>
      <w:jc w:val="both"/>
    </w:pPr>
    <w:rPr>
      <w:rFonts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footnote text"/>
    <w:basedOn w:val="a"/>
    <w:link w:val="Char"/>
    <w:pPr>
      <w:snapToGrid w:val="0"/>
      <w:spacing w:line="240" w:lineRule="auto"/>
      <w:ind w:firstLineChars="0" w:firstLine="0"/>
      <w:jc w:val="left"/>
    </w:pPr>
    <w:rPr>
      <w:sz w:val="18"/>
    </w:rPr>
  </w:style>
  <w:style w:type="paragraph" w:styleId="a6">
    <w:name w:val="Normal (Web)"/>
    <w:qFormat/>
    <w:pPr>
      <w:widowControl w:val="0"/>
      <w:spacing w:beforeAutospacing="1" w:afterAutospacing="1"/>
    </w:pPr>
    <w:rPr>
      <w:rFonts w:asciiTheme="minorHAnsi" w:eastAsiaTheme="minorEastAsia" w:hAnsiTheme="minorHAnsi"/>
      <w:sz w:val="24"/>
      <w:szCs w:val="24"/>
    </w:rPr>
  </w:style>
  <w:style w:type="character" w:customStyle="1" w:styleId="Char">
    <w:name w:val="脚注文本 Char"/>
    <w:link w:val="a5"/>
    <w:uiPriority w:val="99"/>
    <w:qFormat/>
    <w:rPr>
      <w:rFonts w:eastAsia="宋体"/>
      <w:kern w:val="2"/>
      <w:sz w:val="18"/>
      <w:szCs w:val="24"/>
    </w:rPr>
  </w:style>
  <w:style w:type="character" w:styleId="a7">
    <w:name w:val="footnote reference"/>
    <w:basedOn w:val="a0"/>
    <w:rsid w:val="00CD3554"/>
    <w:rPr>
      <w:vertAlign w:val="superscript"/>
    </w:rPr>
  </w:style>
  <w:style w:type="paragraph" w:styleId="a8">
    <w:name w:val="endnote text"/>
    <w:basedOn w:val="a"/>
    <w:link w:val="Char0"/>
    <w:rsid w:val="00AE59E1"/>
    <w:pPr>
      <w:snapToGrid w:val="0"/>
      <w:jc w:val="left"/>
    </w:pPr>
  </w:style>
  <w:style w:type="character" w:customStyle="1" w:styleId="Char0">
    <w:name w:val="尾注文本 Char"/>
    <w:basedOn w:val="a0"/>
    <w:link w:val="a8"/>
    <w:rsid w:val="00AE59E1"/>
    <w:rPr>
      <w:rFonts w:cstheme="minorBidi"/>
      <w:kern w:val="2"/>
      <w:sz w:val="24"/>
      <w:szCs w:val="24"/>
    </w:rPr>
  </w:style>
  <w:style w:type="character" w:styleId="a9">
    <w:name w:val="endnote reference"/>
    <w:basedOn w:val="a0"/>
    <w:rsid w:val="00AE59E1"/>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B7FD8-3590-41E6-A3F4-1C44421C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2612</Words>
  <Characters>2613</Characters>
  <Application>Microsoft Office Word</Application>
  <DocSecurity>0</DocSecurity>
  <Lines>104</Lines>
  <Paragraphs>35</Paragraphs>
  <ScaleCrop>false</ScaleCrop>
  <Company>iTianKong.com</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许少明</cp:lastModifiedBy>
  <cp:revision>3</cp:revision>
  <dcterms:created xsi:type="dcterms:W3CDTF">2021-02-26T04:10:00Z</dcterms:created>
  <dcterms:modified xsi:type="dcterms:W3CDTF">2021-03-02T01:14:00Z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